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014AF" w14:textId="069AE300" w:rsidR="004C57EA" w:rsidRPr="0052548E" w:rsidRDefault="004C57EA" w:rsidP="004C57EA">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 xml:space="preserve">7                 </w:t>
      </w:r>
      <w:r>
        <w:rPr>
          <w:rFonts w:ascii="Arial" w:hAnsi="Arial" w:cs="Arial"/>
          <w:b/>
          <w:bCs/>
          <w:sz w:val="28"/>
        </w:rPr>
        <w:tab/>
      </w:r>
      <w:r w:rsidR="007269EF" w:rsidRPr="007269EF">
        <w:rPr>
          <w:rFonts w:ascii="Arial" w:hAnsi="Arial" w:cs="Arial"/>
          <w:b/>
          <w:bCs/>
          <w:sz w:val="28"/>
        </w:rPr>
        <w:t>R1-1611613</w:t>
      </w:r>
    </w:p>
    <w:p w14:paraId="7C76675F" w14:textId="77777777" w:rsidR="004C57EA" w:rsidRPr="0052548E" w:rsidRDefault="004C57EA" w:rsidP="004C57EA">
      <w:pPr>
        <w:tabs>
          <w:tab w:val="center" w:pos="4536"/>
          <w:tab w:val="right" w:pos="9072"/>
        </w:tabs>
        <w:rPr>
          <w:rFonts w:ascii="Arial" w:hAnsi="Arial" w:cs="Arial"/>
          <w:b/>
          <w:bCs/>
          <w:sz w:val="28"/>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14</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18</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November</w:t>
      </w:r>
      <w:r w:rsidRPr="0052548E">
        <w:rPr>
          <w:rFonts w:ascii="Arial" w:hAnsi="Arial" w:cs="Arial"/>
          <w:b/>
          <w:bCs/>
          <w:sz w:val="28"/>
        </w:rPr>
        <w:t xml:space="preserve">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27EE1D85"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C57EA">
        <w:rPr>
          <w:rFonts w:ascii="Arial" w:hAnsi="Arial" w:cs="Arial"/>
          <w:snapToGrid w:val="0"/>
          <w:sz w:val="24"/>
        </w:rPr>
        <w:t>6</w:t>
      </w:r>
      <w:r w:rsidR="008A4996">
        <w:rPr>
          <w:rFonts w:ascii="Arial" w:hAnsi="Arial" w:cs="Arial"/>
          <w:snapToGrid w:val="0"/>
          <w:sz w:val="24"/>
        </w:rPr>
        <w:t>.2.</w:t>
      </w:r>
      <w:r w:rsidR="00CD231A">
        <w:rPr>
          <w:rFonts w:ascii="Arial" w:hAnsi="Arial" w:cs="Arial"/>
          <w:snapToGrid w:val="0"/>
          <w:sz w:val="24"/>
        </w:rPr>
        <w:t>5</w:t>
      </w:r>
      <w:r w:rsidR="008A4996">
        <w:rPr>
          <w:rFonts w:ascii="Arial" w:hAnsi="Arial" w:cs="Arial"/>
          <w:snapToGrid w:val="0"/>
          <w:sz w:val="24"/>
        </w:rPr>
        <w:t>.</w:t>
      </w:r>
      <w:r w:rsidR="004C57EA">
        <w:rPr>
          <w:rFonts w:ascii="Arial" w:hAnsi="Arial" w:cs="Arial"/>
          <w:snapToGrid w:val="0"/>
          <w:sz w:val="24"/>
        </w:rPr>
        <w:t>1</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4083DF15"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304BA0">
        <w:rPr>
          <w:rFonts w:ascii="Arial" w:hAnsi="Arial" w:cs="Arial"/>
          <w:snapToGrid w:val="0"/>
          <w:sz w:val="24"/>
        </w:rPr>
        <w:t>Triggering and power control of multiple CC</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0DE01AD2" w:rsid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sidR="00C412BA">
        <w:rPr>
          <w:rFonts w:ascii="Times New Roman"/>
          <w:i/>
          <w:snapToGrid w:val="0"/>
          <w:kern w:val="0"/>
          <w:sz w:val="22"/>
          <w:szCs w:val="22"/>
          <w:lang w:val="en-GB"/>
        </w:rPr>
        <w:t xml:space="preserve">SRS Carrier Based Switching for LTE </w:t>
      </w:r>
      <w:r>
        <w:rPr>
          <w:rFonts w:ascii="Times New Roman"/>
          <w:snapToGrid w:val="0"/>
          <w:kern w:val="0"/>
          <w:sz w:val="22"/>
          <w:szCs w:val="22"/>
          <w:lang w:val="en-GB"/>
        </w:rPr>
        <w:t>[1] was introduced. The objective</w:t>
      </w:r>
      <w:r w:rsidR="00C412BA">
        <w:rPr>
          <w:rFonts w:ascii="Times New Roman"/>
          <w:snapToGrid w:val="0"/>
          <w:kern w:val="0"/>
          <w:sz w:val="22"/>
          <w:szCs w:val="22"/>
          <w:lang w:val="en-GB"/>
        </w:rPr>
        <w:t xml:space="preserve"> of this WI is to support SRS transmission in CC with no UL transmission. In this contribut</w:t>
      </w:r>
      <w:r w:rsidR="00FB04C4">
        <w:rPr>
          <w:rFonts w:ascii="Times New Roman"/>
          <w:snapToGrid w:val="0"/>
          <w:kern w:val="0"/>
          <w:sz w:val="22"/>
          <w:szCs w:val="22"/>
          <w:lang w:val="en-GB"/>
        </w:rPr>
        <w:t xml:space="preserve">ion we present our views on how </w:t>
      </w:r>
      <w:r w:rsidR="00304BA0">
        <w:rPr>
          <w:rFonts w:ascii="Times New Roman"/>
          <w:snapToGrid w:val="0"/>
          <w:kern w:val="0"/>
          <w:sz w:val="22"/>
          <w:szCs w:val="22"/>
          <w:lang w:val="en-GB"/>
        </w:rPr>
        <w:t xml:space="preserve">triggering and power control of </w:t>
      </w:r>
      <w:r w:rsidR="00FB04C4">
        <w:rPr>
          <w:rFonts w:ascii="Times New Roman"/>
          <w:snapToGrid w:val="0"/>
          <w:kern w:val="0"/>
          <w:sz w:val="22"/>
          <w:szCs w:val="22"/>
          <w:lang w:val="en-GB"/>
        </w:rPr>
        <w:t>carriers can be handled.</w:t>
      </w:r>
    </w:p>
    <w:p w14:paraId="7C172656" w14:textId="1474EC56" w:rsidR="009F023F" w:rsidRDefault="009F023F"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RAN1#85 the following agreements were reached regarding </w:t>
      </w:r>
      <w:r w:rsidR="00304BA0">
        <w:rPr>
          <w:rFonts w:ascii="Times New Roman"/>
          <w:snapToGrid w:val="0"/>
          <w:kern w:val="0"/>
          <w:sz w:val="22"/>
          <w:szCs w:val="22"/>
          <w:lang w:val="en-GB"/>
        </w:rPr>
        <w:t>triggering and power control</w:t>
      </w:r>
      <w:r>
        <w:rPr>
          <w:rFonts w:ascii="Times New Roman"/>
          <w:snapToGrid w:val="0"/>
          <w:kern w:val="0"/>
          <w:sz w:val="22"/>
          <w:szCs w:val="22"/>
          <w:lang w:val="en-GB"/>
        </w:rPr>
        <w:t>:</w:t>
      </w:r>
    </w:p>
    <w:p w14:paraId="220EBF72" w14:textId="77777777" w:rsidR="00304BA0" w:rsidRDefault="00304BA0" w:rsidP="00111B9A">
      <w:pPr>
        <w:overflowPunct w:val="0"/>
        <w:adjustRightInd w:val="0"/>
        <w:spacing w:after="120"/>
        <w:contextualSpacing/>
        <w:textAlignment w:val="baseline"/>
        <w:rPr>
          <w:rFonts w:ascii="Times New Roman"/>
          <w:snapToGrid w:val="0"/>
          <w:kern w:val="0"/>
          <w:sz w:val="22"/>
          <w:szCs w:val="22"/>
          <w:lang w:val="en-GB"/>
        </w:rPr>
      </w:pPr>
    </w:p>
    <w:p w14:paraId="6A922871" w14:textId="77777777" w:rsidR="00304BA0" w:rsidRPr="00304BA0" w:rsidRDefault="00304BA0" w:rsidP="00304BA0">
      <w:pPr>
        <w:rPr>
          <w:rFonts w:ascii="Times New Roman"/>
          <w:sz w:val="22"/>
          <w:szCs w:val="22"/>
        </w:rPr>
      </w:pPr>
      <w:r w:rsidRPr="00304BA0">
        <w:rPr>
          <w:rFonts w:ascii="Times New Roman"/>
          <w:sz w:val="22"/>
          <w:szCs w:val="22"/>
          <w:highlight w:val="green"/>
        </w:rPr>
        <w:t>Agreement</w:t>
      </w:r>
      <w:r w:rsidRPr="00304BA0">
        <w:rPr>
          <w:rFonts w:ascii="Times New Roman"/>
          <w:sz w:val="22"/>
          <w:szCs w:val="22"/>
        </w:rPr>
        <w:t xml:space="preserve">: </w:t>
      </w:r>
    </w:p>
    <w:p w14:paraId="04265C35" w14:textId="77777777" w:rsidR="00304BA0" w:rsidRPr="00304BA0" w:rsidRDefault="00304BA0" w:rsidP="00304BA0">
      <w:pPr>
        <w:widowControl/>
        <w:numPr>
          <w:ilvl w:val="0"/>
          <w:numId w:val="16"/>
        </w:numPr>
        <w:wordWrap/>
        <w:autoSpaceDE/>
        <w:autoSpaceDN/>
        <w:jc w:val="left"/>
        <w:rPr>
          <w:rFonts w:ascii="Times New Roman"/>
          <w:sz w:val="22"/>
          <w:szCs w:val="22"/>
        </w:rPr>
      </w:pPr>
      <w:r w:rsidRPr="00304BA0">
        <w:rPr>
          <w:rFonts w:ascii="Times New Roman"/>
          <w:sz w:val="22"/>
          <w:szCs w:val="22"/>
        </w:rPr>
        <w:t>Group DCI for SRS switching</w:t>
      </w:r>
    </w:p>
    <w:p w14:paraId="4EAC18F9" w14:textId="77777777" w:rsidR="00304BA0" w:rsidRPr="00304BA0" w:rsidRDefault="00304BA0" w:rsidP="00304BA0">
      <w:pPr>
        <w:widowControl/>
        <w:numPr>
          <w:ilvl w:val="1"/>
          <w:numId w:val="16"/>
        </w:numPr>
        <w:wordWrap/>
        <w:autoSpaceDE/>
        <w:autoSpaceDN/>
        <w:jc w:val="left"/>
        <w:rPr>
          <w:rFonts w:ascii="Times New Roman"/>
          <w:sz w:val="22"/>
          <w:szCs w:val="22"/>
        </w:rPr>
      </w:pPr>
      <w:r w:rsidRPr="00304BA0">
        <w:rPr>
          <w:rFonts w:ascii="Times New Roman"/>
          <w:sz w:val="22"/>
          <w:szCs w:val="22"/>
        </w:rPr>
        <w:t>Payload same as 0/1A/3/3A</w:t>
      </w:r>
    </w:p>
    <w:p w14:paraId="3B46D961" w14:textId="77777777" w:rsidR="00304BA0" w:rsidRPr="00304BA0" w:rsidRDefault="00304BA0" w:rsidP="00304BA0">
      <w:pPr>
        <w:widowControl/>
        <w:numPr>
          <w:ilvl w:val="1"/>
          <w:numId w:val="16"/>
        </w:numPr>
        <w:wordWrap/>
        <w:autoSpaceDE/>
        <w:autoSpaceDN/>
        <w:jc w:val="left"/>
        <w:rPr>
          <w:rFonts w:ascii="Times New Roman"/>
          <w:sz w:val="22"/>
          <w:szCs w:val="22"/>
        </w:rPr>
      </w:pPr>
      <w:r w:rsidRPr="00304BA0">
        <w:rPr>
          <w:rFonts w:ascii="Times New Roman"/>
          <w:sz w:val="22"/>
          <w:szCs w:val="22"/>
        </w:rPr>
        <w:t>With 1 or more configured group RNTI for the newly introduced group DCI</w:t>
      </w:r>
    </w:p>
    <w:p w14:paraId="280E3EAC" w14:textId="77777777" w:rsidR="00304BA0" w:rsidRPr="00304BA0" w:rsidRDefault="00304BA0" w:rsidP="00304BA0">
      <w:pPr>
        <w:widowControl/>
        <w:numPr>
          <w:ilvl w:val="1"/>
          <w:numId w:val="16"/>
        </w:numPr>
        <w:wordWrap/>
        <w:autoSpaceDE/>
        <w:autoSpaceDN/>
        <w:jc w:val="left"/>
        <w:rPr>
          <w:rFonts w:ascii="Times New Roman"/>
          <w:sz w:val="22"/>
          <w:szCs w:val="22"/>
        </w:rPr>
      </w:pPr>
      <w:r w:rsidRPr="00304BA0">
        <w:rPr>
          <w:rFonts w:ascii="Times New Roman"/>
          <w:sz w:val="22"/>
          <w:szCs w:val="22"/>
        </w:rPr>
        <w:t>A UE can be triggered for multiple CCs within one group DCI</w:t>
      </w:r>
    </w:p>
    <w:p w14:paraId="45871D8F" w14:textId="77777777" w:rsidR="00304BA0" w:rsidRPr="00304BA0" w:rsidRDefault="00304BA0" w:rsidP="00304BA0">
      <w:pPr>
        <w:widowControl/>
        <w:numPr>
          <w:ilvl w:val="2"/>
          <w:numId w:val="16"/>
        </w:numPr>
        <w:wordWrap/>
        <w:autoSpaceDE/>
        <w:autoSpaceDN/>
        <w:jc w:val="left"/>
        <w:rPr>
          <w:rFonts w:ascii="Times New Roman"/>
          <w:sz w:val="22"/>
          <w:szCs w:val="22"/>
        </w:rPr>
      </w:pPr>
      <w:r w:rsidRPr="00304BA0">
        <w:rPr>
          <w:rFonts w:ascii="Times New Roman"/>
          <w:sz w:val="22"/>
          <w:szCs w:val="22"/>
        </w:rPr>
        <w:t>Type A: A single field is used to trigger a group of (one or multiple) CCs if the UE is configured with  more than 5 CCs without PUSCH</w:t>
      </w:r>
    </w:p>
    <w:p w14:paraId="6B85BEF4" w14:textId="77777777" w:rsidR="00304BA0" w:rsidRPr="00304BA0" w:rsidRDefault="00304BA0" w:rsidP="00304BA0">
      <w:pPr>
        <w:widowControl/>
        <w:numPr>
          <w:ilvl w:val="3"/>
          <w:numId w:val="16"/>
        </w:numPr>
        <w:wordWrap/>
        <w:autoSpaceDE/>
        <w:autoSpaceDN/>
        <w:jc w:val="left"/>
        <w:rPr>
          <w:rFonts w:ascii="Times New Roman"/>
          <w:sz w:val="22"/>
          <w:szCs w:val="22"/>
        </w:rPr>
      </w:pPr>
      <w:r w:rsidRPr="00304BA0">
        <w:rPr>
          <w:rFonts w:ascii="Times New Roman"/>
          <w:sz w:val="22"/>
          <w:szCs w:val="22"/>
        </w:rPr>
        <w:t>For all the CCs that are triggered by this field, each have a TPC field in this group DCI and the number of bits reserved is decided by the maximum group size among the configured groups</w:t>
      </w:r>
    </w:p>
    <w:p w14:paraId="04FB85D7" w14:textId="77777777" w:rsidR="00304BA0" w:rsidRPr="00304BA0" w:rsidRDefault="00304BA0" w:rsidP="00304BA0">
      <w:pPr>
        <w:widowControl/>
        <w:numPr>
          <w:ilvl w:val="3"/>
          <w:numId w:val="16"/>
        </w:numPr>
        <w:wordWrap/>
        <w:autoSpaceDE/>
        <w:autoSpaceDN/>
        <w:jc w:val="left"/>
        <w:rPr>
          <w:rFonts w:ascii="Times New Roman"/>
          <w:sz w:val="22"/>
          <w:szCs w:val="22"/>
        </w:rPr>
      </w:pPr>
      <w:r w:rsidRPr="00304BA0">
        <w:rPr>
          <w:rFonts w:ascii="Times New Roman"/>
          <w:sz w:val="22"/>
          <w:szCs w:val="22"/>
        </w:rPr>
        <w:t>Maximum number of CCs of a group: 8</w:t>
      </w:r>
    </w:p>
    <w:p w14:paraId="404A2B7F" w14:textId="77777777" w:rsidR="00304BA0" w:rsidRPr="00304BA0" w:rsidRDefault="00304BA0" w:rsidP="00304BA0">
      <w:pPr>
        <w:widowControl/>
        <w:numPr>
          <w:ilvl w:val="2"/>
          <w:numId w:val="16"/>
        </w:numPr>
        <w:wordWrap/>
        <w:autoSpaceDE/>
        <w:autoSpaceDN/>
        <w:jc w:val="left"/>
        <w:rPr>
          <w:rFonts w:ascii="Times New Roman"/>
          <w:sz w:val="22"/>
          <w:szCs w:val="22"/>
        </w:rPr>
      </w:pPr>
      <w:r w:rsidRPr="00304BA0">
        <w:rPr>
          <w:rFonts w:ascii="Times New Roman"/>
          <w:sz w:val="22"/>
          <w:szCs w:val="22"/>
        </w:rPr>
        <w:t>Type B: N fields are used to trigger up to N CCs if the UE is configured with  less than or equal to 5 CCs without PUSCH</w:t>
      </w:r>
    </w:p>
    <w:p w14:paraId="78738F49" w14:textId="77777777" w:rsidR="00304BA0" w:rsidRPr="00304BA0" w:rsidRDefault="00304BA0" w:rsidP="00304BA0">
      <w:pPr>
        <w:widowControl/>
        <w:numPr>
          <w:ilvl w:val="3"/>
          <w:numId w:val="16"/>
        </w:numPr>
        <w:wordWrap/>
        <w:autoSpaceDE/>
        <w:autoSpaceDN/>
        <w:jc w:val="left"/>
        <w:rPr>
          <w:rFonts w:ascii="Times New Roman"/>
          <w:sz w:val="22"/>
          <w:szCs w:val="22"/>
        </w:rPr>
      </w:pPr>
      <w:r w:rsidRPr="00304BA0">
        <w:rPr>
          <w:rFonts w:ascii="Times New Roman"/>
          <w:sz w:val="22"/>
          <w:szCs w:val="22"/>
        </w:rPr>
        <w:t>TPC field for each of the N CCs is also in this group DCI</w:t>
      </w:r>
    </w:p>
    <w:p w14:paraId="044CCFCB" w14:textId="77777777" w:rsidR="00304BA0" w:rsidRPr="00304BA0" w:rsidRDefault="00304BA0" w:rsidP="00304BA0">
      <w:pPr>
        <w:rPr>
          <w:rFonts w:ascii="Times New Roman"/>
          <w:sz w:val="22"/>
          <w:szCs w:val="22"/>
        </w:rPr>
      </w:pPr>
    </w:p>
    <w:p w14:paraId="11CC645C" w14:textId="77777777" w:rsidR="00304BA0" w:rsidRPr="00304BA0" w:rsidRDefault="00304BA0" w:rsidP="00304BA0">
      <w:pPr>
        <w:widowControl/>
        <w:numPr>
          <w:ilvl w:val="1"/>
          <w:numId w:val="16"/>
        </w:numPr>
        <w:wordWrap/>
        <w:autoSpaceDE/>
        <w:autoSpaceDN/>
        <w:jc w:val="left"/>
        <w:rPr>
          <w:rFonts w:ascii="Times New Roman"/>
          <w:sz w:val="22"/>
          <w:szCs w:val="22"/>
        </w:rPr>
      </w:pPr>
      <w:r w:rsidRPr="00304BA0">
        <w:rPr>
          <w:rFonts w:ascii="Times New Roman"/>
          <w:sz w:val="22"/>
          <w:szCs w:val="22"/>
        </w:rPr>
        <w:t>Number of bits:</w:t>
      </w:r>
    </w:p>
    <w:p w14:paraId="6932C714" w14:textId="77777777" w:rsidR="00304BA0" w:rsidRPr="00304BA0" w:rsidRDefault="00304BA0" w:rsidP="00304BA0">
      <w:pPr>
        <w:widowControl/>
        <w:numPr>
          <w:ilvl w:val="2"/>
          <w:numId w:val="17"/>
        </w:numPr>
        <w:wordWrap/>
        <w:autoSpaceDE/>
        <w:autoSpaceDN/>
        <w:jc w:val="left"/>
        <w:rPr>
          <w:rFonts w:ascii="Times New Roman"/>
          <w:sz w:val="22"/>
          <w:szCs w:val="22"/>
        </w:rPr>
      </w:pPr>
      <w:r w:rsidRPr="00304BA0">
        <w:rPr>
          <w:rFonts w:ascii="Times New Roman"/>
          <w:sz w:val="22"/>
          <w:szCs w:val="22"/>
        </w:rPr>
        <w:t>Trigger field:</w:t>
      </w:r>
    </w:p>
    <w:p w14:paraId="5C0C4A2B" w14:textId="77777777" w:rsidR="00304BA0" w:rsidRPr="00304BA0" w:rsidRDefault="00304BA0" w:rsidP="00304BA0">
      <w:pPr>
        <w:widowControl/>
        <w:numPr>
          <w:ilvl w:val="3"/>
          <w:numId w:val="17"/>
        </w:numPr>
        <w:wordWrap/>
        <w:autoSpaceDE/>
        <w:autoSpaceDN/>
        <w:jc w:val="left"/>
        <w:rPr>
          <w:rFonts w:ascii="Times New Roman"/>
          <w:sz w:val="22"/>
          <w:szCs w:val="22"/>
        </w:rPr>
      </w:pPr>
      <w:r w:rsidRPr="00304BA0">
        <w:rPr>
          <w:rFonts w:ascii="Times New Roman"/>
          <w:sz w:val="22"/>
          <w:szCs w:val="22"/>
        </w:rPr>
        <w:t>2 bits for triggering a group of CCs (type A)</w:t>
      </w:r>
    </w:p>
    <w:p w14:paraId="5E862FC8" w14:textId="77777777" w:rsidR="00304BA0" w:rsidRPr="00304BA0" w:rsidRDefault="00304BA0" w:rsidP="00304BA0">
      <w:pPr>
        <w:widowControl/>
        <w:numPr>
          <w:ilvl w:val="3"/>
          <w:numId w:val="17"/>
        </w:numPr>
        <w:wordWrap/>
        <w:autoSpaceDE/>
        <w:autoSpaceDN/>
        <w:jc w:val="left"/>
        <w:rPr>
          <w:rFonts w:ascii="Times New Roman"/>
          <w:sz w:val="22"/>
          <w:szCs w:val="22"/>
        </w:rPr>
      </w:pPr>
      <w:r w:rsidRPr="00304BA0">
        <w:rPr>
          <w:rFonts w:ascii="Times New Roman"/>
          <w:sz w:val="22"/>
          <w:szCs w:val="22"/>
        </w:rPr>
        <w:t xml:space="preserve">For triggering only single CC (type B), </w:t>
      </w:r>
    </w:p>
    <w:p w14:paraId="5CE3F587" w14:textId="77777777" w:rsidR="00304BA0" w:rsidRPr="00304BA0" w:rsidRDefault="00304BA0" w:rsidP="00304BA0">
      <w:pPr>
        <w:widowControl/>
        <w:numPr>
          <w:ilvl w:val="4"/>
          <w:numId w:val="17"/>
        </w:numPr>
        <w:wordWrap/>
        <w:autoSpaceDE/>
        <w:autoSpaceDN/>
        <w:jc w:val="left"/>
        <w:rPr>
          <w:rFonts w:ascii="Times New Roman"/>
          <w:sz w:val="22"/>
          <w:szCs w:val="22"/>
        </w:rPr>
      </w:pPr>
      <w:r w:rsidRPr="00304BA0">
        <w:rPr>
          <w:rFonts w:ascii="Times New Roman"/>
          <w:sz w:val="22"/>
          <w:szCs w:val="22"/>
        </w:rPr>
        <w:t xml:space="preserve">1 bit for single UL </w:t>
      </w:r>
      <w:proofErr w:type="spellStart"/>
      <w:r w:rsidRPr="00304BA0">
        <w:rPr>
          <w:rFonts w:ascii="Times New Roman"/>
          <w:sz w:val="22"/>
          <w:szCs w:val="22"/>
        </w:rPr>
        <w:t>Tx</w:t>
      </w:r>
      <w:proofErr w:type="spellEnd"/>
      <w:r w:rsidRPr="00304BA0">
        <w:rPr>
          <w:rFonts w:ascii="Times New Roman"/>
          <w:sz w:val="22"/>
          <w:szCs w:val="22"/>
        </w:rPr>
        <w:t xml:space="preserve"> antenna without antenna switching, </w:t>
      </w:r>
    </w:p>
    <w:p w14:paraId="304F2F22" w14:textId="77777777" w:rsidR="00304BA0" w:rsidRPr="00304BA0" w:rsidRDefault="00304BA0" w:rsidP="00304BA0">
      <w:pPr>
        <w:widowControl/>
        <w:numPr>
          <w:ilvl w:val="4"/>
          <w:numId w:val="17"/>
        </w:numPr>
        <w:wordWrap/>
        <w:autoSpaceDE/>
        <w:autoSpaceDN/>
        <w:jc w:val="left"/>
        <w:rPr>
          <w:rFonts w:ascii="Times New Roman"/>
          <w:sz w:val="22"/>
          <w:szCs w:val="22"/>
        </w:rPr>
      </w:pPr>
      <w:r w:rsidRPr="00304BA0">
        <w:rPr>
          <w:rFonts w:ascii="Times New Roman"/>
          <w:sz w:val="22"/>
          <w:szCs w:val="22"/>
        </w:rPr>
        <w:t xml:space="preserve">2 bits for multiple UL </w:t>
      </w:r>
      <w:proofErr w:type="spellStart"/>
      <w:r w:rsidRPr="00304BA0">
        <w:rPr>
          <w:rFonts w:ascii="Times New Roman"/>
          <w:sz w:val="22"/>
          <w:szCs w:val="22"/>
        </w:rPr>
        <w:t>Tx</w:t>
      </w:r>
      <w:proofErr w:type="spellEnd"/>
      <w:r w:rsidRPr="00304BA0">
        <w:rPr>
          <w:rFonts w:ascii="Times New Roman"/>
          <w:sz w:val="22"/>
          <w:szCs w:val="22"/>
        </w:rPr>
        <w:t xml:space="preserve"> antenna including antenna switching</w:t>
      </w:r>
    </w:p>
    <w:p w14:paraId="68D00530" w14:textId="77777777" w:rsidR="00304BA0" w:rsidRPr="00304BA0" w:rsidRDefault="00304BA0" w:rsidP="00304BA0">
      <w:pPr>
        <w:widowControl/>
        <w:numPr>
          <w:ilvl w:val="5"/>
          <w:numId w:val="17"/>
        </w:numPr>
        <w:wordWrap/>
        <w:autoSpaceDE/>
        <w:autoSpaceDN/>
        <w:jc w:val="left"/>
        <w:rPr>
          <w:rFonts w:ascii="Times New Roman"/>
          <w:sz w:val="22"/>
          <w:szCs w:val="22"/>
        </w:rPr>
      </w:pPr>
      <w:r w:rsidRPr="00304BA0">
        <w:rPr>
          <w:rFonts w:ascii="Times New Roman"/>
          <w:sz w:val="22"/>
          <w:szCs w:val="22"/>
        </w:rPr>
        <w:t>Per UE configured size</w:t>
      </w:r>
    </w:p>
    <w:p w14:paraId="0F63FA7A" w14:textId="77777777" w:rsidR="00304BA0" w:rsidRPr="00304BA0" w:rsidRDefault="00304BA0" w:rsidP="00304BA0">
      <w:pPr>
        <w:widowControl/>
        <w:numPr>
          <w:ilvl w:val="2"/>
          <w:numId w:val="17"/>
        </w:numPr>
        <w:wordWrap/>
        <w:autoSpaceDE/>
        <w:autoSpaceDN/>
        <w:jc w:val="left"/>
        <w:rPr>
          <w:rFonts w:ascii="Times New Roman"/>
          <w:sz w:val="22"/>
          <w:szCs w:val="22"/>
        </w:rPr>
      </w:pPr>
      <w:r w:rsidRPr="00304BA0">
        <w:rPr>
          <w:rFonts w:ascii="Times New Roman"/>
          <w:sz w:val="22"/>
          <w:szCs w:val="22"/>
        </w:rPr>
        <w:t>TPC: UE specifically configured 1 bit or 2 bits</w:t>
      </w:r>
    </w:p>
    <w:p w14:paraId="098CCD5A" w14:textId="77777777" w:rsidR="00304BA0" w:rsidRPr="00304BA0" w:rsidRDefault="00304BA0" w:rsidP="00304BA0">
      <w:pPr>
        <w:widowControl/>
        <w:numPr>
          <w:ilvl w:val="1"/>
          <w:numId w:val="16"/>
        </w:numPr>
        <w:wordWrap/>
        <w:autoSpaceDE/>
        <w:autoSpaceDN/>
        <w:jc w:val="left"/>
        <w:rPr>
          <w:rFonts w:ascii="Times New Roman"/>
          <w:sz w:val="22"/>
          <w:szCs w:val="22"/>
        </w:rPr>
      </w:pPr>
      <w:r w:rsidRPr="00304BA0">
        <w:rPr>
          <w:rFonts w:ascii="Times New Roman"/>
          <w:sz w:val="22"/>
          <w:szCs w:val="22"/>
        </w:rPr>
        <w:t>Search space</w:t>
      </w:r>
    </w:p>
    <w:p w14:paraId="79AE9D8E" w14:textId="77777777" w:rsidR="00304BA0" w:rsidRPr="00304BA0" w:rsidRDefault="00304BA0" w:rsidP="00304BA0">
      <w:pPr>
        <w:widowControl/>
        <w:numPr>
          <w:ilvl w:val="2"/>
          <w:numId w:val="17"/>
        </w:numPr>
        <w:wordWrap/>
        <w:autoSpaceDE/>
        <w:autoSpaceDN/>
        <w:jc w:val="left"/>
        <w:rPr>
          <w:rFonts w:ascii="Times New Roman"/>
          <w:sz w:val="22"/>
          <w:szCs w:val="22"/>
        </w:rPr>
      </w:pPr>
      <w:r w:rsidRPr="00304BA0">
        <w:rPr>
          <w:rFonts w:ascii="Times New Roman"/>
          <w:sz w:val="22"/>
          <w:szCs w:val="22"/>
        </w:rPr>
        <w:t xml:space="preserve">Common search space in </w:t>
      </w:r>
      <w:proofErr w:type="spellStart"/>
      <w:r w:rsidRPr="00304BA0">
        <w:rPr>
          <w:rFonts w:ascii="Times New Roman"/>
          <w:sz w:val="22"/>
          <w:szCs w:val="22"/>
        </w:rPr>
        <w:t>Pcell</w:t>
      </w:r>
      <w:proofErr w:type="spellEnd"/>
    </w:p>
    <w:p w14:paraId="3ADF42B4" w14:textId="77777777" w:rsidR="00304BA0" w:rsidRPr="00304BA0" w:rsidRDefault="00304BA0" w:rsidP="00304BA0">
      <w:pPr>
        <w:widowControl/>
        <w:numPr>
          <w:ilvl w:val="1"/>
          <w:numId w:val="16"/>
        </w:numPr>
        <w:wordWrap/>
        <w:autoSpaceDE/>
        <w:autoSpaceDN/>
        <w:jc w:val="left"/>
        <w:rPr>
          <w:rFonts w:ascii="Times New Roman"/>
          <w:sz w:val="22"/>
          <w:szCs w:val="22"/>
        </w:rPr>
      </w:pPr>
      <w:r w:rsidRPr="00304BA0">
        <w:rPr>
          <w:rFonts w:ascii="Times New Roman"/>
          <w:sz w:val="22"/>
          <w:szCs w:val="22"/>
        </w:rPr>
        <w:t>Name of the new group DCI format: leave to the editor</w:t>
      </w:r>
    </w:p>
    <w:p w14:paraId="4CD12CB9" w14:textId="77777777" w:rsidR="00BF27AC" w:rsidRPr="009F023F" w:rsidRDefault="00BF27AC" w:rsidP="00BF27AC">
      <w:pPr>
        <w:widowControl/>
        <w:wordWrap/>
        <w:autoSpaceDE/>
        <w:autoSpaceDN/>
        <w:jc w:val="left"/>
        <w:rPr>
          <w:rFonts w:ascii="Times New Roman" w:eastAsia="MS Mincho"/>
          <w:sz w:val="22"/>
          <w:szCs w:val="22"/>
          <w:lang w:eastAsia="ja-JP"/>
        </w:rPr>
      </w:pPr>
    </w:p>
    <w:p w14:paraId="225AC796" w14:textId="77777777" w:rsidR="00D57529" w:rsidRPr="00111B9A" w:rsidRDefault="00D57529" w:rsidP="00D57529">
      <w:pPr>
        <w:pStyle w:val="LGTdoc0"/>
        <w:spacing w:afterLines="0" w:after="120" w:line="240" w:lineRule="auto"/>
        <w:ind w:left="792"/>
        <w:rPr>
          <w:szCs w:val="22"/>
        </w:rPr>
      </w:pPr>
    </w:p>
    <w:bookmarkEnd w:id="0"/>
    <w:bookmarkEnd w:id="1"/>
    <w:p w14:paraId="1988AF3B" w14:textId="1D94B072" w:rsidR="004A563B" w:rsidRDefault="00304BA0" w:rsidP="004A563B">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Triggering of multiple CC</w:t>
      </w:r>
    </w:p>
    <w:p w14:paraId="3CA8D0B1" w14:textId="09FC9B3A" w:rsidR="003E732E" w:rsidRDefault="003E732E" w:rsidP="003E732E">
      <w:pPr>
        <w:pStyle w:val="LGTdoc1"/>
        <w:spacing w:beforeLines="0" w:before="120" w:after="220" w:afterAutospacing="0"/>
        <w:rPr>
          <w:b w:val="0"/>
          <w:sz w:val="22"/>
          <w:szCs w:val="22"/>
        </w:rPr>
      </w:pPr>
      <w:r>
        <w:rPr>
          <w:b w:val="0"/>
          <w:sz w:val="22"/>
          <w:szCs w:val="22"/>
        </w:rPr>
        <w:t>The introduction of group DCI allow to trigger SRS from multiple CC simultaneously. This allows for triggering of a large number of CC with a relatively small overhead (e.g. a single DCI can trigger 5 CC from multiple UEs). One of the problems resides on how to determine the resources used for SRS transmission, since the current LTE standard only allows for triggering a single SRS from the same DCI. Namely, the following two procedures have to be specified:</w:t>
      </w:r>
    </w:p>
    <w:p w14:paraId="47824E9F" w14:textId="52B9804A" w:rsidR="003E732E" w:rsidRDefault="003E732E" w:rsidP="003E732E">
      <w:pPr>
        <w:pStyle w:val="LGTdoc1"/>
        <w:numPr>
          <w:ilvl w:val="0"/>
          <w:numId w:val="19"/>
        </w:numPr>
        <w:spacing w:beforeLines="0" w:before="120" w:after="220" w:afterAutospacing="0"/>
        <w:rPr>
          <w:b w:val="0"/>
          <w:sz w:val="22"/>
          <w:szCs w:val="22"/>
        </w:rPr>
      </w:pPr>
      <w:r w:rsidRPr="003E732E">
        <w:rPr>
          <w:b w:val="0"/>
          <w:sz w:val="22"/>
          <w:szCs w:val="22"/>
        </w:rPr>
        <w:t>How to</w:t>
      </w:r>
      <w:r>
        <w:rPr>
          <w:b w:val="0"/>
          <w:sz w:val="22"/>
          <w:szCs w:val="22"/>
        </w:rPr>
        <w:t xml:space="preserve"> determine the order in which the different CC are sounded.</w:t>
      </w:r>
    </w:p>
    <w:p w14:paraId="64BD7189" w14:textId="57243480" w:rsidR="003E732E" w:rsidRDefault="003E732E" w:rsidP="003E732E">
      <w:pPr>
        <w:pStyle w:val="LGTdoc1"/>
        <w:numPr>
          <w:ilvl w:val="0"/>
          <w:numId w:val="19"/>
        </w:numPr>
        <w:spacing w:beforeLines="0" w:before="120" w:after="220" w:afterAutospacing="0"/>
        <w:rPr>
          <w:b w:val="0"/>
          <w:sz w:val="22"/>
          <w:szCs w:val="22"/>
        </w:rPr>
      </w:pPr>
      <w:r>
        <w:rPr>
          <w:b w:val="0"/>
          <w:sz w:val="22"/>
          <w:szCs w:val="22"/>
        </w:rPr>
        <w:t>Once the order is determined, how to determine the SRS resources used for each transmission.</w:t>
      </w:r>
    </w:p>
    <w:p w14:paraId="6B632F8D" w14:textId="0ACFCD9F" w:rsidR="003E732E" w:rsidRPr="003E732E" w:rsidRDefault="003E732E" w:rsidP="003E732E">
      <w:pPr>
        <w:pStyle w:val="LGTdoc1"/>
        <w:spacing w:beforeLines="0" w:before="120" w:after="220" w:afterAutospacing="0"/>
        <w:rPr>
          <w:b w:val="0"/>
          <w:sz w:val="22"/>
          <w:szCs w:val="22"/>
        </w:rPr>
      </w:pPr>
      <w:r>
        <w:rPr>
          <w:b w:val="0"/>
          <w:sz w:val="22"/>
          <w:szCs w:val="22"/>
        </w:rPr>
        <w:lastRenderedPageBreak/>
        <w:t xml:space="preserve">For the first option, the most logical approach is to follow the RRC configuration/order in the DCI to determine the ordering. This way, the </w:t>
      </w:r>
      <w:proofErr w:type="spellStart"/>
      <w:r>
        <w:rPr>
          <w:b w:val="0"/>
          <w:sz w:val="22"/>
          <w:szCs w:val="22"/>
        </w:rPr>
        <w:t>eNB</w:t>
      </w:r>
      <w:proofErr w:type="spellEnd"/>
      <w:r>
        <w:rPr>
          <w:b w:val="0"/>
          <w:sz w:val="22"/>
          <w:szCs w:val="22"/>
        </w:rPr>
        <w:t xml:space="preserve"> has the flexibility to semi-statically determine the ordering, and the transmissio</w:t>
      </w:r>
      <w:r w:rsidR="00C92F49">
        <w:rPr>
          <w:b w:val="0"/>
          <w:sz w:val="22"/>
          <w:szCs w:val="22"/>
        </w:rPr>
        <w:t>n sequence is well defined based on this configuration.</w:t>
      </w:r>
    </w:p>
    <w:p w14:paraId="713B2400" w14:textId="06E1C998" w:rsidR="00D60B45" w:rsidRDefault="00304BA0" w:rsidP="00597774">
      <w:pPr>
        <w:pStyle w:val="LGTdoc1"/>
        <w:spacing w:beforeLines="0" w:before="120" w:after="220" w:afterAutospacing="0"/>
        <w:rPr>
          <w:sz w:val="22"/>
          <w:szCs w:val="22"/>
        </w:rPr>
      </w:pPr>
      <w:r>
        <w:rPr>
          <w:sz w:val="22"/>
          <w:szCs w:val="22"/>
          <w:u w:val="single"/>
        </w:rPr>
        <w:t>Proposal 1:</w:t>
      </w:r>
      <w:r>
        <w:rPr>
          <w:sz w:val="22"/>
          <w:szCs w:val="22"/>
        </w:rPr>
        <w:t xml:space="preserve"> For the triggering of multiple CC from a same DCI, the ordering</w:t>
      </w:r>
      <w:r w:rsidR="009B1CBB">
        <w:rPr>
          <w:sz w:val="22"/>
          <w:szCs w:val="22"/>
        </w:rPr>
        <w:t xml:space="preserve"> of SRS transmission is </w:t>
      </w:r>
      <w:r>
        <w:rPr>
          <w:sz w:val="22"/>
          <w:szCs w:val="22"/>
        </w:rPr>
        <w:t>as follows:</w:t>
      </w:r>
    </w:p>
    <w:p w14:paraId="7F539ABB" w14:textId="70381C2C" w:rsidR="00304BA0" w:rsidRDefault="00304BA0" w:rsidP="00304BA0">
      <w:pPr>
        <w:pStyle w:val="LGTdoc1"/>
        <w:numPr>
          <w:ilvl w:val="0"/>
          <w:numId w:val="17"/>
        </w:numPr>
        <w:spacing w:beforeLines="0" w:before="120" w:after="220" w:afterAutospacing="0"/>
        <w:rPr>
          <w:sz w:val="22"/>
          <w:szCs w:val="22"/>
        </w:rPr>
      </w:pPr>
      <w:r>
        <w:rPr>
          <w:sz w:val="22"/>
          <w:szCs w:val="22"/>
        </w:rPr>
        <w:t>For Type A DCI, it follows the order in the RRC configuration</w:t>
      </w:r>
    </w:p>
    <w:p w14:paraId="3FDBD99C" w14:textId="43855954" w:rsidR="00304BA0" w:rsidRDefault="00304BA0" w:rsidP="00304BA0">
      <w:pPr>
        <w:pStyle w:val="LGTdoc1"/>
        <w:numPr>
          <w:ilvl w:val="0"/>
          <w:numId w:val="17"/>
        </w:numPr>
        <w:spacing w:beforeLines="0" w:before="120" w:after="220" w:afterAutospacing="0"/>
        <w:rPr>
          <w:sz w:val="22"/>
          <w:szCs w:val="22"/>
        </w:rPr>
      </w:pPr>
      <w:r>
        <w:rPr>
          <w:sz w:val="22"/>
          <w:szCs w:val="22"/>
        </w:rPr>
        <w:t>For Type B DCI, it follows the order in the DCI.</w:t>
      </w:r>
    </w:p>
    <w:p w14:paraId="0D3A0625" w14:textId="5D6AE11B" w:rsidR="00304BA0" w:rsidRDefault="003E732E" w:rsidP="00304BA0">
      <w:pPr>
        <w:pStyle w:val="LGTdoc1"/>
        <w:spacing w:beforeLines="0" w:before="120" w:after="220" w:afterAutospacing="0"/>
        <w:rPr>
          <w:b w:val="0"/>
          <w:sz w:val="22"/>
          <w:szCs w:val="22"/>
        </w:rPr>
      </w:pPr>
      <w:r w:rsidRPr="003E732E">
        <w:rPr>
          <w:b w:val="0"/>
          <w:sz w:val="22"/>
          <w:szCs w:val="22"/>
        </w:rPr>
        <w:t>Once the order is determined</w:t>
      </w:r>
      <w:r>
        <w:rPr>
          <w:b w:val="0"/>
          <w:sz w:val="22"/>
          <w:szCs w:val="22"/>
        </w:rPr>
        <w:t xml:space="preserve">, now the exact resources to be used for </w:t>
      </w:r>
      <w:r w:rsidR="00C92F49">
        <w:rPr>
          <w:b w:val="0"/>
          <w:sz w:val="22"/>
          <w:szCs w:val="22"/>
        </w:rPr>
        <w:t>the different SRS transmissions have to be determined. Due to the large number of combinations of UE capabilities (e.g. different number of simultaneous transmissions) and number of simultaneously triggered CC, the best way to determine the set of resources is by using a predetermined procedure. The procedure should allow for the following:</w:t>
      </w:r>
    </w:p>
    <w:p w14:paraId="0F4B78ED" w14:textId="4B98A8FA" w:rsidR="00C92F49" w:rsidRDefault="00C92F49" w:rsidP="00C92F49">
      <w:pPr>
        <w:pStyle w:val="LGTdoc1"/>
        <w:numPr>
          <w:ilvl w:val="0"/>
          <w:numId w:val="17"/>
        </w:numPr>
        <w:spacing w:beforeLines="0" w:before="120" w:after="220" w:afterAutospacing="0"/>
        <w:rPr>
          <w:b w:val="0"/>
          <w:sz w:val="22"/>
          <w:szCs w:val="22"/>
        </w:rPr>
      </w:pPr>
      <w:r>
        <w:rPr>
          <w:b w:val="0"/>
          <w:sz w:val="22"/>
          <w:szCs w:val="22"/>
        </w:rPr>
        <w:t>It should take into account collision between different SRS (including retuning time).</w:t>
      </w:r>
    </w:p>
    <w:p w14:paraId="195870EC" w14:textId="7A7DEA76" w:rsidR="00C92F49" w:rsidRDefault="00C92F49" w:rsidP="00C92F49">
      <w:pPr>
        <w:pStyle w:val="LGTdoc1"/>
        <w:numPr>
          <w:ilvl w:val="0"/>
          <w:numId w:val="17"/>
        </w:numPr>
        <w:spacing w:beforeLines="0" w:before="120" w:after="220" w:afterAutospacing="0"/>
        <w:rPr>
          <w:b w:val="0"/>
          <w:sz w:val="22"/>
          <w:szCs w:val="22"/>
        </w:rPr>
      </w:pPr>
      <w:r>
        <w:rPr>
          <w:b w:val="0"/>
          <w:sz w:val="22"/>
          <w:szCs w:val="22"/>
        </w:rPr>
        <w:t>The logic behind it should be simple to allow efficient implementation at the UE side.</w:t>
      </w:r>
    </w:p>
    <w:p w14:paraId="51FEDEB3" w14:textId="6F2F091F" w:rsidR="00C92F49" w:rsidRDefault="00C92F49" w:rsidP="00C92F49">
      <w:pPr>
        <w:pStyle w:val="LGTdoc1"/>
        <w:numPr>
          <w:ilvl w:val="0"/>
          <w:numId w:val="17"/>
        </w:numPr>
        <w:spacing w:beforeLines="0" w:before="120" w:after="220" w:afterAutospacing="0"/>
        <w:rPr>
          <w:b w:val="0"/>
          <w:sz w:val="22"/>
          <w:szCs w:val="22"/>
        </w:rPr>
      </w:pPr>
      <w:r>
        <w:rPr>
          <w:b w:val="0"/>
          <w:sz w:val="22"/>
          <w:szCs w:val="22"/>
        </w:rPr>
        <w:t>It should take into account the UE capability (i.e. the fact that a UE may be able to transmit SRS in two given carriers simultaneously).</w:t>
      </w:r>
    </w:p>
    <w:p w14:paraId="251092B3" w14:textId="5816C518" w:rsidR="00C92F49" w:rsidRPr="003E732E" w:rsidRDefault="00C92F49" w:rsidP="00C92F49">
      <w:pPr>
        <w:pStyle w:val="LGTdoc1"/>
        <w:numPr>
          <w:ilvl w:val="0"/>
          <w:numId w:val="17"/>
        </w:numPr>
        <w:spacing w:beforeLines="0" w:before="120" w:after="220" w:afterAutospacing="0"/>
        <w:rPr>
          <w:b w:val="0"/>
          <w:sz w:val="22"/>
          <w:szCs w:val="22"/>
        </w:rPr>
      </w:pPr>
      <w:r>
        <w:rPr>
          <w:b w:val="0"/>
          <w:sz w:val="22"/>
          <w:szCs w:val="22"/>
        </w:rPr>
        <w:t xml:space="preserve">It should be </w:t>
      </w:r>
      <w:r>
        <w:rPr>
          <w:b w:val="0"/>
          <w:i/>
          <w:sz w:val="22"/>
          <w:szCs w:val="22"/>
        </w:rPr>
        <w:t>self-contained</w:t>
      </w:r>
      <w:r>
        <w:rPr>
          <w:b w:val="0"/>
          <w:sz w:val="22"/>
          <w:szCs w:val="22"/>
        </w:rPr>
        <w:t>, e.g. it should not depend on the content of other DCI.</w:t>
      </w:r>
    </w:p>
    <w:p w14:paraId="060A6EDF" w14:textId="59EC90BE" w:rsidR="00304BA0" w:rsidRPr="00C92F49" w:rsidRDefault="00C92F49" w:rsidP="00304BA0">
      <w:pPr>
        <w:pStyle w:val="LGTdoc1"/>
        <w:spacing w:beforeLines="0" w:before="120" w:after="220" w:afterAutospacing="0"/>
        <w:rPr>
          <w:b w:val="0"/>
          <w:sz w:val="22"/>
          <w:szCs w:val="22"/>
        </w:rPr>
      </w:pPr>
      <w:r>
        <w:rPr>
          <w:b w:val="0"/>
          <w:sz w:val="22"/>
          <w:szCs w:val="22"/>
        </w:rPr>
        <w:t>A simple rule that meets these three requirement is in the following proposal:</w:t>
      </w:r>
    </w:p>
    <w:p w14:paraId="23A2D201" w14:textId="7C9417A3" w:rsidR="00304BA0" w:rsidRDefault="00304BA0" w:rsidP="00304BA0">
      <w:pPr>
        <w:pStyle w:val="LGTdoc1"/>
        <w:spacing w:beforeLines="0" w:before="120" w:after="220" w:afterAutospacing="0"/>
        <w:rPr>
          <w:sz w:val="22"/>
          <w:szCs w:val="22"/>
        </w:rPr>
      </w:pPr>
      <w:r w:rsidRPr="00304BA0">
        <w:rPr>
          <w:sz w:val="22"/>
          <w:szCs w:val="22"/>
          <w:u w:val="single"/>
        </w:rPr>
        <w:t>Proposal 2:</w:t>
      </w:r>
      <w:r>
        <w:rPr>
          <w:sz w:val="22"/>
          <w:szCs w:val="22"/>
          <w:u w:val="single"/>
        </w:rPr>
        <w:t xml:space="preserve"> </w:t>
      </w:r>
      <w:r>
        <w:rPr>
          <w:sz w:val="22"/>
          <w:szCs w:val="22"/>
        </w:rPr>
        <w:t xml:space="preserve">The </w:t>
      </w:r>
      <w:r w:rsidR="00C92F49">
        <w:rPr>
          <w:sz w:val="22"/>
          <w:szCs w:val="22"/>
        </w:rPr>
        <w:t>resources</w:t>
      </w:r>
      <w:r>
        <w:rPr>
          <w:sz w:val="22"/>
          <w:szCs w:val="22"/>
        </w:rPr>
        <w:t xml:space="preserve"> used for </w:t>
      </w:r>
      <w:r w:rsidR="00C92F49">
        <w:rPr>
          <w:sz w:val="22"/>
          <w:szCs w:val="22"/>
        </w:rPr>
        <w:t xml:space="preserve">SRS </w:t>
      </w:r>
      <w:r>
        <w:rPr>
          <w:sz w:val="22"/>
          <w:szCs w:val="22"/>
        </w:rPr>
        <w:t xml:space="preserve">transmissions </w:t>
      </w:r>
      <w:r w:rsidR="00C92F49">
        <w:rPr>
          <w:sz w:val="22"/>
          <w:szCs w:val="22"/>
        </w:rPr>
        <w:t>when multiple SRS are triggered by the same DCI</w:t>
      </w:r>
      <w:r>
        <w:rPr>
          <w:sz w:val="22"/>
          <w:szCs w:val="22"/>
        </w:rPr>
        <w:t xml:space="preserve"> are obtained as follows:</w:t>
      </w:r>
    </w:p>
    <w:p w14:paraId="05B9E876" w14:textId="3644ECB7" w:rsidR="00304BA0" w:rsidRDefault="00304BA0" w:rsidP="00304BA0">
      <w:pPr>
        <w:pStyle w:val="LGTdoc1"/>
        <w:numPr>
          <w:ilvl w:val="0"/>
          <w:numId w:val="18"/>
        </w:numPr>
        <w:spacing w:beforeLines="0" w:before="120" w:after="220" w:afterAutospacing="0"/>
        <w:rPr>
          <w:sz w:val="22"/>
          <w:szCs w:val="22"/>
        </w:rPr>
      </w:pPr>
      <w:r>
        <w:rPr>
          <w:sz w:val="22"/>
          <w:szCs w:val="22"/>
        </w:rPr>
        <w:t>The timing of the first SRS transmission (</w:t>
      </w:r>
      <w:r>
        <w:rPr>
          <w:i/>
          <w:sz w:val="22"/>
          <w:szCs w:val="22"/>
        </w:rPr>
        <w:t>n=1)</w:t>
      </w:r>
      <w:r>
        <w:rPr>
          <w:sz w:val="22"/>
          <w:szCs w:val="22"/>
        </w:rPr>
        <w:t xml:space="preserve"> follows legacy timing.</w:t>
      </w:r>
    </w:p>
    <w:p w14:paraId="704DD17F" w14:textId="77777777" w:rsidR="007269EF" w:rsidRDefault="00304BA0" w:rsidP="0093488F">
      <w:pPr>
        <w:pStyle w:val="LGTdoc1"/>
        <w:numPr>
          <w:ilvl w:val="0"/>
          <w:numId w:val="18"/>
        </w:numPr>
        <w:spacing w:beforeLines="0" w:before="120" w:after="220" w:afterAutospacing="0"/>
        <w:rPr>
          <w:sz w:val="22"/>
          <w:szCs w:val="22"/>
        </w:rPr>
      </w:pPr>
      <w:r w:rsidRPr="007269EF">
        <w:rPr>
          <w:sz w:val="22"/>
          <w:szCs w:val="22"/>
        </w:rPr>
        <w:t xml:space="preserve">For the </w:t>
      </w:r>
      <w:r w:rsidRPr="007269EF">
        <w:rPr>
          <w:i/>
          <w:sz w:val="22"/>
          <w:szCs w:val="22"/>
        </w:rPr>
        <w:t>n</w:t>
      </w:r>
      <w:r w:rsidRPr="007269EF">
        <w:rPr>
          <w:sz w:val="22"/>
          <w:szCs w:val="22"/>
        </w:rPr>
        <w:t>-</w:t>
      </w:r>
      <w:proofErr w:type="spellStart"/>
      <w:r w:rsidRPr="007269EF">
        <w:rPr>
          <w:sz w:val="22"/>
          <w:szCs w:val="22"/>
        </w:rPr>
        <w:t>th</w:t>
      </w:r>
      <w:proofErr w:type="spellEnd"/>
      <w:r w:rsidRPr="007269EF">
        <w:rPr>
          <w:sz w:val="22"/>
          <w:szCs w:val="22"/>
        </w:rPr>
        <w:t xml:space="preserve"> SRS transmissions, determine the first SRS resource</w:t>
      </w:r>
      <w:r w:rsidR="003E732E" w:rsidRPr="007269EF">
        <w:rPr>
          <w:sz w:val="22"/>
          <w:szCs w:val="22"/>
        </w:rPr>
        <w:t xml:space="preserve"> after or at the same time as the </w:t>
      </w:r>
      <w:r w:rsidR="003E732E" w:rsidRPr="007269EF">
        <w:rPr>
          <w:i/>
          <w:sz w:val="22"/>
          <w:szCs w:val="22"/>
        </w:rPr>
        <w:t>(n-1)-</w:t>
      </w:r>
      <w:proofErr w:type="spellStart"/>
      <w:r w:rsidR="003E732E" w:rsidRPr="007269EF">
        <w:rPr>
          <w:sz w:val="22"/>
          <w:szCs w:val="22"/>
        </w:rPr>
        <w:t>th</w:t>
      </w:r>
      <w:proofErr w:type="spellEnd"/>
      <w:r w:rsidRPr="007269EF">
        <w:rPr>
          <w:sz w:val="22"/>
          <w:szCs w:val="22"/>
        </w:rPr>
        <w:t xml:space="preserve"> that does not collide with the </w:t>
      </w:r>
      <w:r w:rsidRPr="007269EF">
        <w:rPr>
          <w:i/>
          <w:sz w:val="22"/>
          <w:szCs w:val="22"/>
        </w:rPr>
        <w:t>1, …, n-1</w:t>
      </w:r>
      <w:r w:rsidRPr="007269EF">
        <w:rPr>
          <w:sz w:val="22"/>
          <w:szCs w:val="22"/>
        </w:rPr>
        <w:t xml:space="preserve"> SRS transmissions (including retuning times)</w:t>
      </w:r>
    </w:p>
    <w:p w14:paraId="7F03338A" w14:textId="746AD903" w:rsidR="007269EF" w:rsidRPr="007269EF" w:rsidRDefault="007269EF" w:rsidP="007269EF">
      <w:pPr>
        <w:pStyle w:val="LGTdoc1"/>
        <w:spacing w:beforeLines="0" w:before="120" w:after="220" w:afterAutospacing="0"/>
        <w:rPr>
          <w:sz w:val="22"/>
          <w:szCs w:val="22"/>
        </w:rPr>
      </w:pPr>
      <w:r w:rsidRPr="007269EF">
        <w:rPr>
          <w:sz w:val="22"/>
          <w:szCs w:val="22"/>
        </w:rPr>
        <w:t>The SRS resources are obtained as in legacy LTE (i.e. based on A-SRS configuration).</w:t>
      </w:r>
    </w:p>
    <w:p w14:paraId="248D47D7" w14:textId="684112E7" w:rsidR="007269EF" w:rsidRDefault="007269EF" w:rsidP="007269EF">
      <w:pPr>
        <w:pStyle w:val="LGTdoc1"/>
        <w:spacing w:beforeLines="0" w:before="120" w:after="220" w:afterAutospacing="0"/>
        <w:rPr>
          <w:sz w:val="22"/>
          <w:szCs w:val="22"/>
        </w:rPr>
      </w:pPr>
      <w:r>
        <w:rPr>
          <w:b w:val="0"/>
          <w:sz w:val="22"/>
          <w:szCs w:val="22"/>
        </w:rPr>
        <w:t>Note that, with this proposal + collision rules, the dropping of one SRS transmission due to a collision (e.g. with PUCCH) does not change the ordering or resources of the remaining SRS transmissions, which makes the procedure more robust against DCI misdetections.</w:t>
      </w:r>
    </w:p>
    <w:p w14:paraId="07DFA727" w14:textId="46FD5B76" w:rsidR="00304BA0" w:rsidRPr="00C92F49" w:rsidRDefault="00C92F49" w:rsidP="00304BA0">
      <w:pPr>
        <w:pStyle w:val="LGTdoc1"/>
        <w:spacing w:beforeLines="0" w:before="120" w:after="220" w:afterAutospacing="0"/>
        <w:rPr>
          <w:b w:val="0"/>
          <w:sz w:val="22"/>
          <w:szCs w:val="22"/>
        </w:rPr>
      </w:pPr>
      <w:r w:rsidRPr="00C92F49">
        <w:rPr>
          <w:b w:val="0"/>
          <w:sz w:val="22"/>
          <w:szCs w:val="22"/>
        </w:rPr>
        <w:t>With the</w:t>
      </w:r>
      <w:r>
        <w:rPr>
          <w:b w:val="0"/>
          <w:sz w:val="22"/>
          <w:szCs w:val="22"/>
        </w:rPr>
        <w:t xml:space="preserve"> two proposals above, the </w:t>
      </w:r>
      <w:r w:rsidR="009B1CBB">
        <w:rPr>
          <w:b w:val="0"/>
          <w:sz w:val="22"/>
          <w:szCs w:val="22"/>
        </w:rPr>
        <w:t>sequence of SRS transmission for a DCI can be obtained. One issue is that a UE may monitor multiple DCI that trigger SRS (e.g. two group DCI, or a group DCI and a downlink DCI). In such case, some of the SRS transmission may overlap with each other, so some mechanism to avoid overlap is necessary. In the following proposal we present a simple mechanism to decide prioritization rules among different CC.</w:t>
      </w:r>
    </w:p>
    <w:p w14:paraId="594C01AE" w14:textId="6ED79BD4" w:rsidR="00304BA0" w:rsidRDefault="00304BA0" w:rsidP="00304BA0">
      <w:pPr>
        <w:pStyle w:val="LGTdoc1"/>
        <w:spacing w:beforeLines="0" w:before="120" w:after="220" w:afterAutospacing="0"/>
        <w:rPr>
          <w:sz w:val="22"/>
          <w:szCs w:val="22"/>
        </w:rPr>
      </w:pPr>
      <w:r w:rsidRPr="00304BA0">
        <w:rPr>
          <w:sz w:val="22"/>
          <w:szCs w:val="22"/>
          <w:u w:val="single"/>
        </w:rPr>
        <w:t>Proposal 3:</w:t>
      </w:r>
      <w:r>
        <w:rPr>
          <w:sz w:val="22"/>
          <w:szCs w:val="22"/>
          <w:u w:val="single"/>
        </w:rPr>
        <w:t xml:space="preserve"> </w:t>
      </w:r>
      <w:r>
        <w:rPr>
          <w:sz w:val="22"/>
          <w:szCs w:val="22"/>
        </w:rPr>
        <w:t xml:space="preserve">If </w:t>
      </w:r>
      <w:r w:rsidR="009B1CBB">
        <w:rPr>
          <w:sz w:val="22"/>
          <w:szCs w:val="22"/>
        </w:rPr>
        <w:t xml:space="preserve">two or more SRS transmissions </w:t>
      </w:r>
      <w:r>
        <w:rPr>
          <w:sz w:val="22"/>
          <w:szCs w:val="22"/>
        </w:rPr>
        <w:t>(e.g. due to receiving multiple DCI at the same time)</w:t>
      </w:r>
      <w:r w:rsidR="009B1CBB">
        <w:rPr>
          <w:sz w:val="22"/>
          <w:szCs w:val="22"/>
        </w:rPr>
        <w:t xml:space="preserve"> collide</w:t>
      </w:r>
      <w:r>
        <w:rPr>
          <w:sz w:val="22"/>
          <w:szCs w:val="22"/>
        </w:rPr>
        <w:t>, the prioritization is as follows:</w:t>
      </w:r>
    </w:p>
    <w:p w14:paraId="34A98963" w14:textId="1F2736D2" w:rsidR="00304BA0" w:rsidRDefault="00304BA0" w:rsidP="00304BA0">
      <w:pPr>
        <w:pStyle w:val="LGTdoc1"/>
        <w:numPr>
          <w:ilvl w:val="0"/>
          <w:numId w:val="17"/>
        </w:numPr>
        <w:spacing w:beforeLines="0" w:before="120" w:after="220" w:afterAutospacing="0"/>
        <w:rPr>
          <w:sz w:val="22"/>
          <w:szCs w:val="22"/>
        </w:rPr>
      </w:pPr>
      <w:r>
        <w:rPr>
          <w:sz w:val="22"/>
          <w:szCs w:val="22"/>
        </w:rPr>
        <w:t>Lower CC index take precedence over higher CC indices</w:t>
      </w:r>
    </w:p>
    <w:p w14:paraId="6085AF3C" w14:textId="4F9E3F82" w:rsidR="00304BA0" w:rsidRDefault="00304BA0" w:rsidP="00304BA0">
      <w:pPr>
        <w:pStyle w:val="LGTdoc1"/>
        <w:numPr>
          <w:ilvl w:val="0"/>
          <w:numId w:val="17"/>
        </w:numPr>
        <w:spacing w:beforeLines="0" w:before="120" w:after="220" w:afterAutospacing="0"/>
        <w:rPr>
          <w:sz w:val="22"/>
          <w:szCs w:val="22"/>
        </w:rPr>
      </w:pPr>
      <w:r>
        <w:rPr>
          <w:sz w:val="22"/>
          <w:szCs w:val="22"/>
        </w:rPr>
        <w:t>For same CC index, the one that corresponds to a DCI received later in time takes precedence.</w:t>
      </w:r>
    </w:p>
    <w:p w14:paraId="404C712A" w14:textId="45197A67" w:rsidR="00304BA0" w:rsidRDefault="00304BA0" w:rsidP="00304BA0">
      <w:pPr>
        <w:pStyle w:val="LGTdoc1"/>
        <w:numPr>
          <w:ilvl w:val="0"/>
          <w:numId w:val="17"/>
        </w:numPr>
        <w:spacing w:beforeLines="0" w:before="120" w:after="220" w:afterAutospacing="0"/>
        <w:rPr>
          <w:sz w:val="22"/>
          <w:szCs w:val="22"/>
        </w:rPr>
      </w:pPr>
      <w:r>
        <w:rPr>
          <w:sz w:val="22"/>
          <w:szCs w:val="22"/>
        </w:rPr>
        <w:t>For same time, DL DCI takes precedence over group DCI</w:t>
      </w:r>
    </w:p>
    <w:p w14:paraId="10B9DB29" w14:textId="564F21AD" w:rsidR="00304BA0" w:rsidRPr="00304BA0" w:rsidRDefault="00304BA0" w:rsidP="00304BA0">
      <w:pPr>
        <w:pStyle w:val="LGTdoc1"/>
        <w:numPr>
          <w:ilvl w:val="0"/>
          <w:numId w:val="17"/>
        </w:numPr>
        <w:spacing w:beforeLines="0" w:before="120" w:after="220" w:afterAutospacing="0"/>
        <w:rPr>
          <w:sz w:val="22"/>
          <w:szCs w:val="22"/>
        </w:rPr>
      </w:pPr>
      <w:r>
        <w:rPr>
          <w:sz w:val="22"/>
          <w:szCs w:val="22"/>
        </w:rPr>
        <w:t xml:space="preserve">For group DCI, the one with </w:t>
      </w:r>
      <w:r w:rsidR="007269EF">
        <w:rPr>
          <w:sz w:val="22"/>
          <w:szCs w:val="22"/>
        </w:rPr>
        <w:t>lower</w:t>
      </w:r>
      <w:r>
        <w:rPr>
          <w:sz w:val="22"/>
          <w:szCs w:val="22"/>
        </w:rPr>
        <w:t xml:space="preserve"> RNTI takes precedence</w:t>
      </w:r>
    </w:p>
    <w:p w14:paraId="32C1E6BD" w14:textId="49E62EA5" w:rsidR="00304BA0" w:rsidRDefault="00304BA0" w:rsidP="00304BA0">
      <w:pPr>
        <w:pStyle w:val="LGTdoc1"/>
        <w:spacing w:beforeLines="0" w:before="120" w:after="220" w:afterAutospacing="0"/>
        <w:rPr>
          <w:sz w:val="22"/>
          <w:szCs w:val="22"/>
        </w:rPr>
      </w:pPr>
    </w:p>
    <w:p w14:paraId="600C1262" w14:textId="4DA771F5" w:rsidR="00304BA0" w:rsidRDefault="00304BA0" w:rsidP="00304BA0">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Power control</w:t>
      </w:r>
    </w:p>
    <w:p w14:paraId="5A099592" w14:textId="02240D63" w:rsidR="003E732E" w:rsidRDefault="009B1CBB" w:rsidP="003E732E">
      <w:pPr>
        <w:pStyle w:val="LGTdoc1"/>
        <w:spacing w:beforeLines="0" w:before="120" w:after="220" w:afterAutospacing="0"/>
        <w:rPr>
          <w:b w:val="0"/>
          <w:sz w:val="22"/>
          <w:szCs w:val="22"/>
        </w:rPr>
      </w:pPr>
      <w:r w:rsidRPr="009B1CBB">
        <w:rPr>
          <w:b w:val="0"/>
          <w:sz w:val="22"/>
          <w:szCs w:val="22"/>
        </w:rPr>
        <w:t>Similar</w:t>
      </w:r>
      <w:r>
        <w:rPr>
          <w:b w:val="0"/>
          <w:sz w:val="22"/>
          <w:szCs w:val="22"/>
        </w:rPr>
        <w:t xml:space="preserve"> to the case above, when multiple SRS are triggered in the same </w:t>
      </w:r>
      <w:proofErr w:type="spellStart"/>
      <w:r>
        <w:rPr>
          <w:b w:val="0"/>
          <w:sz w:val="22"/>
          <w:szCs w:val="22"/>
        </w:rPr>
        <w:t>subframe</w:t>
      </w:r>
      <w:proofErr w:type="spellEnd"/>
      <w:r>
        <w:rPr>
          <w:b w:val="0"/>
          <w:sz w:val="22"/>
          <w:szCs w:val="22"/>
        </w:rPr>
        <w:t>, multiple power control commands may be issued to the UE. If this is the case, the UE should determine the following:</w:t>
      </w:r>
    </w:p>
    <w:p w14:paraId="76A3BA03" w14:textId="61496047" w:rsidR="009B1CBB" w:rsidRDefault="009B1CBB" w:rsidP="009B1CBB">
      <w:pPr>
        <w:pStyle w:val="LGTdoc1"/>
        <w:numPr>
          <w:ilvl w:val="0"/>
          <w:numId w:val="21"/>
        </w:numPr>
        <w:spacing w:beforeLines="0" w:before="120" w:after="220" w:afterAutospacing="0"/>
        <w:rPr>
          <w:b w:val="0"/>
          <w:sz w:val="22"/>
          <w:szCs w:val="22"/>
        </w:rPr>
      </w:pPr>
      <w:r>
        <w:rPr>
          <w:b w:val="0"/>
          <w:sz w:val="22"/>
          <w:szCs w:val="22"/>
        </w:rPr>
        <w:t>Determine when to apply each power control command.</w:t>
      </w:r>
    </w:p>
    <w:p w14:paraId="554C0ADB" w14:textId="56FF7323" w:rsidR="009B1CBB" w:rsidRPr="009B1CBB" w:rsidRDefault="009B1CBB" w:rsidP="009B1CBB">
      <w:pPr>
        <w:pStyle w:val="LGTdoc1"/>
        <w:numPr>
          <w:ilvl w:val="0"/>
          <w:numId w:val="21"/>
        </w:numPr>
        <w:spacing w:beforeLines="0" w:before="120" w:after="220" w:afterAutospacing="0"/>
        <w:rPr>
          <w:b w:val="0"/>
          <w:sz w:val="22"/>
          <w:szCs w:val="22"/>
        </w:rPr>
      </w:pPr>
      <w:r>
        <w:rPr>
          <w:b w:val="0"/>
          <w:sz w:val="22"/>
          <w:szCs w:val="22"/>
        </w:rPr>
        <w:t>Solve possible conflicts between commands</w:t>
      </w:r>
    </w:p>
    <w:p w14:paraId="3CBBF428" w14:textId="49A384B8" w:rsidR="003E732E" w:rsidRPr="009B1CBB" w:rsidRDefault="009B1CBB" w:rsidP="003E732E">
      <w:pPr>
        <w:pStyle w:val="LGTdoc1"/>
        <w:spacing w:beforeLines="0" w:before="120" w:after="220" w:afterAutospacing="0"/>
        <w:rPr>
          <w:b w:val="0"/>
          <w:sz w:val="22"/>
          <w:szCs w:val="22"/>
        </w:rPr>
      </w:pPr>
      <w:r w:rsidRPr="009B1CBB">
        <w:rPr>
          <w:b w:val="0"/>
          <w:sz w:val="22"/>
          <w:szCs w:val="22"/>
        </w:rPr>
        <w:t>To d</w:t>
      </w:r>
      <w:r>
        <w:rPr>
          <w:b w:val="0"/>
          <w:sz w:val="22"/>
          <w:szCs w:val="22"/>
        </w:rPr>
        <w:t>etermine when to apply the power control command, the easiest is to tie this with the SRS transmission instants (e.g. following proposals 1-2). If the UE is power controlled without an SRS trigger, then the power control command is applied when the SRS is transmitted. If the power control command is received in a DCI not triggering SRS, the following procedure is followed.</w:t>
      </w:r>
    </w:p>
    <w:p w14:paraId="682F9177" w14:textId="50B36C3F" w:rsidR="009B1CBB" w:rsidRDefault="009B1CBB" w:rsidP="003E732E">
      <w:pPr>
        <w:pStyle w:val="LGTdoc1"/>
        <w:spacing w:beforeLines="0" w:before="120" w:after="220" w:afterAutospacing="0"/>
        <w:rPr>
          <w:sz w:val="22"/>
          <w:szCs w:val="22"/>
        </w:rPr>
      </w:pPr>
      <w:r>
        <w:rPr>
          <w:sz w:val="22"/>
          <w:szCs w:val="22"/>
          <w:u w:val="single"/>
        </w:rPr>
        <w:t xml:space="preserve">Proposal 4: </w:t>
      </w:r>
      <w:r>
        <w:rPr>
          <w:sz w:val="22"/>
          <w:szCs w:val="22"/>
        </w:rPr>
        <w:t xml:space="preserve">The </w:t>
      </w:r>
      <w:proofErr w:type="spellStart"/>
      <w:r>
        <w:rPr>
          <w:sz w:val="22"/>
          <w:szCs w:val="22"/>
        </w:rPr>
        <w:t>subframe</w:t>
      </w:r>
      <w:proofErr w:type="spellEnd"/>
      <w:r>
        <w:rPr>
          <w:sz w:val="22"/>
          <w:szCs w:val="22"/>
        </w:rPr>
        <w:t xml:space="preserve"> in which the UE applies a power control command is:</w:t>
      </w:r>
    </w:p>
    <w:p w14:paraId="4AD6BDED" w14:textId="2C267939" w:rsidR="009B1CBB" w:rsidRDefault="009B1CBB" w:rsidP="009B1CBB">
      <w:pPr>
        <w:pStyle w:val="LGTdoc1"/>
        <w:numPr>
          <w:ilvl w:val="0"/>
          <w:numId w:val="17"/>
        </w:numPr>
        <w:spacing w:beforeLines="0" w:before="120" w:after="220" w:afterAutospacing="0"/>
        <w:rPr>
          <w:sz w:val="22"/>
          <w:szCs w:val="22"/>
        </w:rPr>
      </w:pPr>
      <w:r>
        <w:rPr>
          <w:sz w:val="22"/>
          <w:szCs w:val="22"/>
        </w:rPr>
        <w:t xml:space="preserve">The </w:t>
      </w:r>
      <w:proofErr w:type="spellStart"/>
      <w:r>
        <w:rPr>
          <w:sz w:val="22"/>
          <w:szCs w:val="22"/>
        </w:rPr>
        <w:t>subframe</w:t>
      </w:r>
      <w:proofErr w:type="spellEnd"/>
      <w:r>
        <w:rPr>
          <w:sz w:val="22"/>
          <w:szCs w:val="22"/>
        </w:rPr>
        <w:t xml:space="preserve"> used for SRS transmission, if SRS is triggered in the same DCI.</w:t>
      </w:r>
    </w:p>
    <w:p w14:paraId="0E4C9CC2" w14:textId="4F3CDDB1" w:rsidR="009B1CBB" w:rsidRDefault="009B1CBB" w:rsidP="009B1CBB">
      <w:pPr>
        <w:pStyle w:val="LGTdoc1"/>
        <w:numPr>
          <w:ilvl w:val="0"/>
          <w:numId w:val="17"/>
        </w:numPr>
        <w:spacing w:beforeLines="0" w:before="120" w:after="220" w:afterAutospacing="0"/>
        <w:rPr>
          <w:sz w:val="22"/>
          <w:szCs w:val="22"/>
        </w:rPr>
      </w:pPr>
      <w:proofErr w:type="spellStart"/>
      <w:r>
        <w:rPr>
          <w:sz w:val="22"/>
          <w:szCs w:val="22"/>
        </w:rPr>
        <w:t>Subframe</w:t>
      </w:r>
      <w:proofErr w:type="spellEnd"/>
      <w:r>
        <w:rPr>
          <w:sz w:val="22"/>
          <w:szCs w:val="22"/>
        </w:rPr>
        <w:t xml:space="preserve"> </w:t>
      </w:r>
      <w:r>
        <w:rPr>
          <w:i/>
          <w:sz w:val="22"/>
          <w:szCs w:val="22"/>
        </w:rPr>
        <w:t>n+</w:t>
      </w:r>
      <w:r w:rsidRPr="00E9040D">
        <w:rPr>
          <w:position w:val="-10"/>
        </w:rPr>
        <w:object w:dxaOrig="17537" w:dyaOrig="8756" w14:anchorId="57FA7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7.55pt;mso-position-horizontal-relative:page;mso-position-vertical-relative:page" o:ole="">
            <v:imagedata r:id="rId14" o:title=""/>
          </v:shape>
          <o:OLEObject Type="Embed" ProgID="Equation.DSMT4" ShapeID="_x0000_i1025" DrawAspect="Content" ObjectID="_1539786187" r:id="rId15">
            <o:FieldCodes>\* MERGEFORMAT</o:FieldCodes>
          </o:OLEObject>
        </w:object>
      </w:r>
      <w:r w:rsidRPr="009B1CBB">
        <w:rPr>
          <w:sz w:val="22"/>
          <w:szCs w:val="22"/>
        </w:rPr>
        <w:t>if SRS is not triggered in the same DCI</w:t>
      </w:r>
    </w:p>
    <w:p w14:paraId="21276CAC" w14:textId="794D7503" w:rsidR="009B1CBB" w:rsidRDefault="009B1CBB" w:rsidP="009B1CBB">
      <w:pPr>
        <w:pStyle w:val="LGTdoc1"/>
        <w:spacing w:beforeLines="0" w:before="120" w:after="220" w:afterAutospacing="0"/>
        <w:rPr>
          <w:b w:val="0"/>
          <w:sz w:val="22"/>
          <w:szCs w:val="22"/>
        </w:rPr>
      </w:pPr>
      <w:r w:rsidRPr="009B1CBB">
        <w:rPr>
          <w:b w:val="0"/>
          <w:sz w:val="22"/>
          <w:szCs w:val="22"/>
        </w:rPr>
        <w:t>After following the rule in proposal 4</w:t>
      </w:r>
      <w:r>
        <w:rPr>
          <w:b w:val="0"/>
          <w:sz w:val="22"/>
          <w:szCs w:val="22"/>
        </w:rPr>
        <w:t xml:space="preserve">, it is possible that the power control command from multiple DCI fall in the same </w:t>
      </w:r>
      <w:proofErr w:type="spellStart"/>
      <w:r>
        <w:rPr>
          <w:b w:val="0"/>
          <w:sz w:val="22"/>
          <w:szCs w:val="22"/>
        </w:rPr>
        <w:t>subframe</w:t>
      </w:r>
      <w:proofErr w:type="spellEnd"/>
      <w:r>
        <w:rPr>
          <w:b w:val="0"/>
          <w:sz w:val="22"/>
          <w:szCs w:val="22"/>
        </w:rPr>
        <w:t>. If this is the case, the UE should only apply one of them (this may be useful in the case of DCI type A, where two SRS-RNTIs are monitored and the same CC is present in two groups). To reduce the effect of false alarms, the TPC commands have to be the same in both DCIs, and also the SRS resource used for transmission has to be the same in both DCIs. Otherwise, the UE behaviour is not specified (this should be interpreted as an error case caused by a false alarm at the UE side).</w:t>
      </w:r>
    </w:p>
    <w:p w14:paraId="3EB7392B" w14:textId="61649842" w:rsidR="009B1CBB" w:rsidRDefault="003E732E" w:rsidP="003E732E">
      <w:pPr>
        <w:pStyle w:val="LGTdoc1"/>
        <w:spacing w:beforeLines="0" w:before="120" w:after="220" w:afterAutospacing="0"/>
        <w:rPr>
          <w:sz w:val="22"/>
          <w:szCs w:val="22"/>
        </w:rPr>
      </w:pPr>
      <w:r>
        <w:rPr>
          <w:sz w:val="22"/>
          <w:szCs w:val="22"/>
          <w:u w:val="single"/>
        </w:rPr>
        <w:t xml:space="preserve">Proposal </w:t>
      </w:r>
      <w:r w:rsidR="009B1CBB">
        <w:rPr>
          <w:sz w:val="22"/>
          <w:szCs w:val="22"/>
          <w:u w:val="single"/>
        </w:rPr>
        <w:t>5</w:t>
      </w:r>
      <w:r>
        <w:rPr>
          <w:sz w:val="22"/>
          <w:szCs w:val="22"/>
          <w:u w:val="single"/>
        </w:rPr>
        <w:t>:</w:t>
      </w:r>
      <w:r>
        <w:rPr>
          <w:sz w:val="22"/>
          <w:szCs w:val="22"/>
        </w:rPr>
        <w:t xml:space="preserve"> </w:t>
      </w:r>
      <w:r w:rsidR="009B1CBB">
        <w:rPr>
          <w:sz w:val="22"/>
          <w:szCs w:val="22"/>
        </w:rPr>
        <w:t xml:space="preserve">If the UE receives multiple TPC commands for the same </w:t>
      </w:r>
      <w:proofErr w:type="spellStart"/>
      <w:r w:rsidR="009B1CBB">
        <w:rPr>
          <w:sz w:val="22"/>
          <w:szCs w:val="22"/>
        </w:rPr>
        <w:t>subframe</w:t>
      </w:r>
      <w:proofErr w:type="spellEnd"/>
      <w:r w:rsidR="009B1CBB">
        <w:rPr>
          <w:sz w:val="22"/>
          <w:szCs w:val="22"/>
        </w:rPr>
        <w:t>, same CC, the UE behaviour is as follows:</w:t>
      </w:r>
    </w:p>
    <w:p w14:paraId="55E63B0D" w14:textId="636D5151" w:rsidR="009B1CBB" w:rsidRDefault="009B1CBB" w:rsidP="009B1CBB">
      <w:pPr>
        <w:pStyle w:val="LGTdoc1"/>
        <w:numPr>
          <w:ilvl w:val="0"/>
          <w:numId w:val="17"/>
        </w:numPr>
        <w:spacing w:beforeLines="0" w:before="120" w:after="220" w:afterAutospacing="0"/>
        <w:rPr>
          <w:sz w:val="22"/>
          <w:szCs w:val="22"/>
        </w:rPr>
      </w:pPr>
      <w:r>
        <w:rPr>
          <w:sz w:val="22"/>
          <w:szCs w:val="22"/>
        </w:rPr>
        <w:t>If both TPC commands are equal, and the SRS configuration from both trigger is the same, then</w:t>
      </w:r>
    </w:p>
    <w:p w14:paraId="69E07820" w14:textId="62A74755" w:rsidR="009B1CBB" w:rsidRDefault="009B1CBB" w:rsidP="009B1CBB">
      <w:pPr>
        <w:pStyle w:val="LGTdoc1"/>
        <w:numPr>
          <w:ilvl w:val="1"/>
          <w:numId w:val="17"/>
        </w:numPr>
        <w:spacing w:beforeLines="0" w:before="120" w:after="220" w:afterAutospacing="0"/>
        <w:rPr>
          <w:sz w:val="22"/>
          <w:szCs w:val="22"/>
        </w:rPr>
      </w:pPr>
      <w:r>
        <w:rPr>
          <w:sz w:val="22"/>
          <w:szCs w:val="22"/>
        </w:rPr>
        <w:t>The TPC command is valid and is applied (a single time)</w:t>
      </w:r>
    </w:p>
    <w:p w14:paraId="73D58DA1" w14:textId="55554234" w:rsidR="009B1CBB" w:rsidRDefault="009B1CBB" w:rsidP="009B1CBB">
      <w:pPr>
        <w:pStyle w:val="LGTdoc1"/>
        <w:numPr>
          <w:ilvl w:val="0"/>
          <w:numId w:val="17"/>
        </w:numPr>
        <w:spacing w:beforeLines="0" w:before="120" w:after="220" w:afterAutospacing="0"/>
        <w:rPr>
          <w:sz w:val="22"/>
          <w:szCs w:val="22"/>
        </w:rPr>
      </w:pPr>
      <w:r>
        <w:rPr>
          <w:sz w:val="22"/>
          <w:szCs w:val="22"/>
        </w:rPr>
        <w:t>Else</w:t>
      </w:r>
    </w:p>
    <w:p w14:paraId="46686CCF" w14:textId="0FB7F21F" w:rsidR="009B1CBB" w:rsidRDefault="009B1CBB" w:rsidP="009B1CBB">
      <w:pPr>
        <w:pStyle w:val="LGTdoc1"/>
        <w:numPr>
          <w:ilvl w:val="1"/>
          <w:numId w:val="17"/>
        </w:numPr>
        <w:spacing w:beforeLines="0" w:before="120" w:after="220" w:afterAutospacing="0"/>
        <w:rPr>
          <w:sz w:val="22"/>
          <w:szCs w:val="22"/>
        </w:rPr>
      </w:pPr>
      <w:r>
        <w:rPr>
          <w:sz w:val="22"/>
          <w:szCs w:val="22"/>
        </w:rPr>
        <w:t>The UE behaviour is not defined</w:t>
      </w:r>
    </w:p>
    <w:p w14:paraId="52A1E2F6" w14:textId="77777777" w:rsidR="00304BA0" w:rsidRDefault="00304BA0" w:rsidP="00304BA0">
      <w:pPr>
        <w:pStyle w:val="LGTdoc1"/>
        <w:spacing w:beforeLines="0" w:before="120" w:after="220" w:afterAutospacing="0"/>
        <w:rPr>
          <w:sz w:val="22"/>
          <w:szCs w:val="22"/>
        </w:rPr>
      </w:pPr>
    </w:p>
    <w:p w14:paraId="278CCFC9" w14:textId="77777777" w:rsidR="00304BA0" w:rsidRPr="00304BA0" w:rsidRDefault="00304BA0" w:rsidP="00304BA0">
      <w:pPr>
        <w:pStyle w:val="LGTdoc1"/>
        <w:spacing w:beforeLines="0" w:before="120" w:after="220" w:afterAutospacing="0"/>
        <w:rPr>
          <w:sz w:val="22"/>
          <w:szCs w:val="22"/>
        </w:rPr>
      </w:pPr>
    </w:p>
    <w:p w14:paraId="1A98B8A8" w14:textId="51E84F8B" w:rsidR="004E6768" w:rsidRDefault="00E95DA2" w:rsidP="007A693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27F01A48" w14:textId="77777777" w:rsidR="009B1CBB" w:rsidRDefault="009B1CBB" w:rsidP="009B1CBB">
      <w:pPr>
        <w:pStyle w:val="LGTdoc1"/>
        <w:spacing w:beforeLines="0" w:before="120" w:after="220" w:afterAutospacing="0"/>
        <w:rPr>
          <w:sz w:val="22"/>
          <w:szCs w:val="22"/>
        </w:rPr>
      </w:pPr>
      <w:r>
        <w:rPr>
          <w:sz w:val="22"/>
          <w:szCs w:val="22"/>
          <w:u w:val="single"/>
        </w:rPr>
        <w:t>Proposal 1:</w:t>
      </w:r>
      <w:r>
        <w:rPr>
          <w:sz w:val="22"/>
          <w:szCs w:val="22"/>
        </w:rPr>
        <w:t xml:space="preserve"> For the triggering of multiple CC from a same DCI, the ordering of SRS transmission is as follows:</w:t>
      </w:r>
    </w:p>
    <w:p w14:paraId="412D0476" w14:textId="77777777" w:rsidR="009B1CBB" w:rsidRDefault="009B1CBB" w:rsidP="009B1CBB">
      <w:pPr>
        <w:pStyle w:val="LGTdoc1"/>
        <w:numPr>
          <w:ilvl w:val="0"/>
          <w:numId w:val="17"/>
        </w:numPr>
        <w:spacing w:beforeLines="0" w:before="120" w:after="220" w:afterAutospacing="0"/>
        <w:rPr>
          <w:sz w:val="22"/>
          <w:szCs w:val="22"/>
        </w:rPr>
      </w:pPr>
      <w:r>
        <w:rPr>
          <w:sz w:val="22"/>
          <w:szCs w:val="22"/>
        </w:rPr>
        <w:t>For Type A DCI, it follows the order in the RRC configuration</w:t>
      </w:r>
    </w:p>
    <w:p w14:paraId="77110791" w14:textId="77777777" w:rsidR="009B1CBB" w:rsidRDefault="009B1CBB" w:rsidP="009B1CBB">
      <w:pPr>
        <w:pStyle w:val="LGTdoc1"/>
        <w:numPr>
          <w:ilvl w:val="0"/>
          <w:numId w:val="17"/>
        </w:numPr>
        <w:spacing w:beforeLines="0" w:before="120" w:after="220" w:afterAutospacing="0"/>
        <w:rPr>
          <w:sz w:val="22"/>
          <w:szCs w:val="22"/>
        </w:rPr>
      </w:pPr>
      <w:r>
        <w:rPr>
          <w:sz w:val="22"/>
          <w:szCs w:val="22"/>
        </w:rPr>
        <w:t>For Type B DCI, it follows the order in the DCI.</w:t>
      </w:r>
    </w:p>
    <w:p w14:paraId="435FD7DD" w14:textId="77777777" w:rsidR="009B1CBB" w:rsidRDefault="009B1CBB" w:rsidP="009B1CBB">
      <w:pPr>
        <w:pStyle w:val="LGTdoc1"/>
        <w:spacing w:beforeLines="0" w:before="120" w:after="220" w:afterAutospacing="0"/>
        <w:rPr>
          <w:sz w:val="22"/>
          <w:szCs w:val="22"/>
        </w:rPr>
      </w:pPr>
      <w:r w:rsidRPr="00304BA0">
        <w:rPr>
          <w:sz w:val="22"/>
          <w:szCs w:val="22"/>
          <w:u w:val="single"/>
        </w:rPr>
        <w:t>Proposal 2:</w:t>
      </w:r>
      <w:r>
        <w:rPr>
          <w:sz w:val="22"/>
          <w:szCs w:val="22"/>
          <w:u w:val="single"/>
        </w:rPr>
        <w:t xml:space="preserve"> </w:t>
      </w:r>
      <w:r>
        <w:rPr>
          <w:sz w:val="22"/>
          <w:szCs w:val="22"/>
        </w:rPr>
        <w:t>The resources used for SRS transmissions when multiple SRS are triggered by the same DCI are obtained as follows:</w:t>
      </w:r>
    </w:p>
    <w:p w14:paraId="4EE90A35" w14:textId="77777777" w:rsidR="009B1CBB" w:rsidRDefault="009B1CBB" w:rsidP="009B1CBB">
      <w:pPr>
        <w:pStyle w:val="LGTdoc1"/>
        <w:numPr>
          <w:ilvl w:val="0"/>
          <w:numId w:val="20"/>
        </w:numPr>
        <w:spacing w:beforeLines="0" w:before="120" w:after="220" w:afterAutospacing="0"/>
        <w:rPr>
          <w:sz w:val="22"/>
          <w:szCs w:val="22"/>
        </w:rPr>
      </w:pPr>
      <w:r>
        <w:rPr>
          <w:sz w:val="22"/>
          <w:szCs w:val="22"/>
        </w:rPr>
        <w:t>The timing of the first SRS transmission (</w:t>
      </w:r>
      <w:r>
        <w:rPr>
          <w:i/>
          <w:sz w:val="22"/>
          <w:szCs w:val="22"/>
        </w:rPr>
        <w:t>n=1)</w:t>
      </w:r>
      <w:r>
        <w:rPr>
          <w:sz w:val="22"/>
          <w:szCs w:val="22"/>
        </w:rPr>
        <w:t xml:space="preserve"> follows legacy timing.</w:t>
      </w:r>
    </w:p>
    <w:p w14:paraId="5D3973AF" w14:textId="77777777" w:rsidR="009B1CBB" w:rsidRDefault="009B1CBB" w:rsidP="009B1CBB">
      <w:pPr>
        <w:pStyle w:val="LGTdoc1"/>
        <w:numPr>
          <w:ilvl w:val="0"/>
          <w:numId w:val="20"/>
        </w:numPr>
        <w:spacing w:beforeLines="0" w:before="120" w:after="220" w:afterAutospacing="0"/>
        <w:rPr>
          <w:sz w:val="22"/>
          <w:szCs w:val="22"/>
        </w:rPr>
      </w:pPr>
      <w:r>
        <w:rPr>
          <w:sz w:val="22"/>
          <w:szCs w:val="22"/>
        </w:rPr>
        <w:lastRenderedPageBreak/>
        <w:t xml:space="preserve">For the </w:t>
      </w:r>
      <w:r w:rsidRPr="00304BA0">
        <w:rPr>
          <w:i/>
          <w:sz w:val="22"/>
          <w:szCs w:val="22"/>
        </w:rPr>
        <w:t>n</w:t>
      </w:r>
      <w:r>
        <w:rPr>
          <w:sz w:val="22"/>
          <w:szCs w:val="22"/>
        </w:rPr>
        <w:t>-</w:t>
      </w:r>
      <w:proofErr w:type="spellStart"/>
      <w:r>
        <w:rPr>
          <w:sz w:val="22"/>
          <w:szCs w:val="22"/>
        </w:rPr>
        <w:t>th</w:t>
      </w:r>
      <w:proofErr w:type="spellEnd"/>
      <w:r>
        <w:rPr>
          <w:sz w:val="22"/>
          <w:szCs w:val="22"/>
        </w:rPr>
        <w:t xml:space="preserve"> SRS transmissions, determine the first SRS resource after or at the same time as the </w:t>
      </w:r>
      <w:r w:rsidRPr="003E732E">
        <w:rPr>
          <w:i/>
          <w:sz w:val="22"/>
          <w:szCs w:val="22"/>
        </w:rPr>
        <w:t>(n-1)</w:t>
      </w:r>
      <w:r>
        <w:rPr>
          <w:i/>
          <w:sz w:val="22"/>
          <w:szCs w:val="22"/>
        </w:rPr>
        <w:t>-</w:t>
      </w:r>
      <w:proofErr w:type="spellStart"/>
      <w:r w:rsidRPr="003E732E">
        <w:rPr>
          <w:sz w:val="22"/>
          <w:szCs w:val="22"/>
        </w:rPr>
        <w:t>th</w:t>
      </w:r>
      <w:proofErr w:type="spellEnd"/>
      <w:r>
        <w:rPr>
          <w:sz w:val="22"/>
          <w:szCs w:val="22"/>
        </w:rPr>
        <w:t xml:space="preserve"> that does not collide with the </w:t>
      </w:r>
      <w:r w:rsidRPr="00304BA0">
        <w:rPr>
          <w:i/>
          <w:sz w:val="22"/>
          <w:szCs w:val="22"/>
        </w:rPr>
        <w:t>1,</w:t>
      </w:r>
      <w:r>
        <w:rPr>
          <w:i/>
          <w:sz w:val="22"/>
          <w:szCs w:val="22"/>
        </w:rPr>
        <w:t xml:space="preserve"> </w:t>
      </w:r>
      <w:r w:rsidRPr="00304BA0">
        <w:rPr>
          <w:i/>
          <w:sz w:val="22"/>
          <w:szCs w:val="22"/>
        </w:rPr>
        <w:t>…,</w:t>
      </w:r>
      <w:r>
        <w:rPr>
          <w:i/>
          <w:sz w:val="22"/>
          <w:szCs w:val="22"/>
        </w:rPr>
        <w:t xml:space="preserve"> </w:t>
      </w:r>
      <w:r w:rsidRPr="00304BA0">
        <w:rPr>
          <w:i/>
          <w:sz w:val="22"/>
          <w:szCs w:val="22"/>
        </w:rPr>
        <w:t>n-1</w:t>
      </w:r>
      <w:r>
        <w:rPr>
          <w:sz w:val="22"/>
          <w:szCs w:val="22"/>
        </w:rPr>
        <w:t xml:space="preserve"> SRS transmissions (including retuning times)</w:t>
      </w:r>
    </w:p>
    <w:p w14:paraId="42144D3D" w14:textId="063FDB6B" w:rsidR="007269EF" w:rsidRDefault="007269EF" w:rsidP="007269EF">
      <w:pPr>
        <w:pStyle w:val="LGTdoc1"/>
        <w:spacing w:beforeLines="0" w:before="120" w:after="220" w:afterAutospacing="0"/>
        <w:rPr>
          <w:sz w:val="22"/>
          <w:szCs w:val="22"/>
        </w:rPr>
      </w:pPr>
      <w:r>
        <w:rPr>
          <w:sz w:val="22"/>
          <w:szCs w:val="22"/>
        </w:rPr>
        <w:t>The SRS resources are obtained as in legacy LTE (i.e. based on A-SRS configuration).</w:t>
      </w:r>
    </w:p>
    <w:p w14:paraId="5AD15456" w14:textId="77777777" w:rsidR="007269EF" w:rsidRDefault="007269EF" w:rsidP="007269EF">
      <w:pPr>
        <w:pStyle w:val="LGTdoc1"/>
        <w:spacing w:beforeLines="0" w:before="120" w:after="220" w:afterAutospacing="0"/>
        <w:rPr>
          <w:sz w:val="22"/>
          <w:szCs w:val="22"/>
        </w:rPr>
      </w:pPr>
    </w:p>
    <w:p w14:paraId="1DDCB028" w14:textId="77777777" w:rsidR="009B1CBB" w:rsidRDefault="009B1CBB" w:rsidP="009B1CBB">
      <w:pPr>
        <w:pStyle w:val="LGTdoc1"/>
        <w:spacing w:beforeLines="0" w:before="120" w:after="220" w:afterAutospacing="0"/>
        <w:rPr>
          <w:sz w:val="22"/>
          <w:szCs w:val="22"/>
        </w:rPr>
      </w:pPr>
      <w:r w:rsidRPr="00304BA0">
        <w:rPr>
          <w:sz w:val="22"/>
          <w:szCs w:val="22"/>
          <w:u w:val="single"/>
        </w:rPr>
        <w:t>Proposal 3:</w:t>
      </w:r>
      <w:r>
        <w:rPr>
          <w:sz w:val="22"/>
          <w:szCs w:val="22"/>
          <w:u w:val="single"/>
        </w:rPr>
        <w:t xml:space="preserve"> </w:t>
      </w:r>
      <w:r>
        <w:rPr>
          <w:sz w:val="22"/>
          <w:szCs w:val="22"/>
        </w:rPr>
        <w:t>If two or more SRS transmissions (e.g. due to receiving multiple DCI at the same time) collide, the prioritization is as follows:</w:t>
      </w:r>
    </w:p>
    <w:p w14:paraId="365EBA23" w14:textId="77777777" w:rsidR="009B1CBB" w:rsidRDefault="009B1CBB" w:rsidP="009B1CBB">
      <w:pPr>
        <w:pStyle w:val="LGTdoc1"/>
        <w:numPr>
          <w:ilvl w:val="0"/>
          <w:numId w:val="17"/>
        </w:numPr>
        <w:spacing w:beforeLines="0" w:before="120" w:after="220" w:afterAutospacing="0"/>
        <w:rPr>
          <w:sz w:val="22"/>
          <w:szCs w:val="22"/>
        </w:rPr>
      </w:pPr>
      <w:r>
        <w:rPr>
          <w:sz w:val="22"/>
          <w:szCs w:val="22"/>
        </w:rPr>
        <w:t>Lower CC index take precedence over higher CC indices</w:t>
      </w:r>
    </w:p>
    <w:p w14:paraId="6B178EC1" w14:textId="77777777" w:rsidR="009B1CBB" w:rsidRDefault="009B1CBB" w:rsidP="009B1CBB">
      <w:pPr>
        <w:pStyle w:val="LGTdoc1"/>
        <w:numPr>
          <w:ilvl w:val="0"/>
          <w:numId w:val="17"/>
        </w:numPr>
        <w:spacing w:beforeLines="0" w:before="120" w:after="220" w:afterAutospacing="0"/>
        <w:rPr>
          <w:sz w:val="22"/>
          <w:szCs w:val="22"/>
        </w:rPr>
      </w:pPr>
      <w:r>
        <w:rPr>
          <w:sz w:val="22"/>
          <w:szCs w:val="22"/>
        </w:rPr>
        <w:t>For same CC index, the one that corresponds to a DCI received later in time takes precedence.</w:t>
      </w:r>
    </w:p>
    <w:p w14:paraId="01CC6B3E" w14:textId="77777777" w:rsidR="009B1CBB" w:rsidRDefault="009B1CBB" w:rsidP="009B1CBB">
      <w:pPr>
        <w:pStyle w:val="LGTdoc1"/>
        <w:numPr>
          <w:ilvl w:val="0"/>
          <w:numId w:val="17"/>
        </w:numPr>
        <w:spacing w:beforeLines="0" w:before="120" w:after="220" w:afterAutospacing="0"/>
        <w:rPr>
          <w:sz w:val="22"/>
          <w:szCs w:val="22"/>
        </w:rPr>
      </w:pPr>
      <w:r>
        <w:rPr>
          <w:sz w:val="22"/>
          <w:szCs w:val="22"/>
        </w:rPr>
        <w:t>For same time, DL DCI takes precedence over group DCI</w:t>
      </w:r>
    </w:p>
    <w:p w14:paraId="1A3AD702" w14:textId="00340F71" w:rsidR="009B1CBB" w:rsidRDefault="009B1CBB" w:rsidP="009B1CBB">
      <w:pPr>
        <w:pStyle w:val="LGTdoc1"/>
        <w:numPr>
          <w:ilvl w:val="0"/>
          <w:numId w:val="17"/>
        </w:numPr>
        <w:spacing w:beforeLines="0" w:before="120" w:after="220" w:afterAutospacing="0"/>
        <w:rPr>
          <w:sz w:val="22"/>
          <w:szCs w:val="22"/>
        </w:rPr>
      </w:pPr>
      <w:r>
        <w:rPr>
          <w:sz w:val="22"/>
          <w:szCs w:val="22"/>
        </w:rPr>
        <w:t xml:space="preserve">For group DCI, the one with </w:t>
      </w:r>
      <w:r w:rsidR="007269EF">
        <w:rPr>
          <w:sz w:val="22"/>
          <w:szCs w:val="22"/>
        </w:rPr>
        <w:t>lower</w:t>
      </w:r>
      <w:r>
        <w:rPr>
          <w:sz w:val="22"/>
          <w:szCs w:val="22"/>
        </w:rPr>
        <w:t xml:space="preserve"> RNTI takes precedence</w:t>
      </w:r>
    </w:p>
    <w:p w14:paraId="100E6447" w14:textId="77777777" w:rsidR="009B1CBB" w:rsidRPr="00304BA0" w:rsidRDefault="009B1CBB" w:rsidP="009B1CBB">
      <w:pPr>
        <w:pStyle w:val="LGTdoc1"/>
        <w:spacing w:beforeLines="0" w:before="120" w:after="220" w:afterAutospacing="0"/>
        <w:ind w:left="720"/>
        <w:rPr>
          <w:sz w:val="22"/>
          <w:szCs w:val="22"/>
        </w:rPr>
      </w:pPr>
      <w:bookmarkStart w:id="2" w:name="_GoBack"/>
      <w:bookmarkEnd w:id="2"/>
    </w:p>
    <w:p w14:paraId="76BC82A6" w14:textId="77777777" w:rsidR="009B1CBB" w:rsidRDefault="009B1CBB" w:rsidP="009B1CBB">
      <w:pPr>
        <w:pStyle w:val="LGTdoc1"/>
        <w:spacing w:beforeLines="0" w:before="120" w:after="220" w:afterAutospacing="0"/>
        <w:rPr>
          <w:sz w:val="22"/>
          <w:szCs w:val="22"/>
        </w:rPr>
      </w:pPr>
      <w:r>
        <w:rPr>
          <w:sz w:val="22"/>
          <w:szCs w:val="22"/>
          <w:u w:val="single"/>
        </w:rPr>
        <w:t xml:space="preserve">Proposal 4: </w:t>
      </w:r>
      <w:r>
        <w:rPr>
          <w:sz w:val="22"/>
          <w:szCs w:val="22"/>
        </w:rPr>
        <w:t xml:space="preserve">The </w:t>
      </w:r>
      <w:proofErr w:type="spellStart"/>
      <w:r>
        <w:rPr>
          <w:sz w:val="22"/>
          <w:szCs w:val="22"/>
        </w:rPr>
        <w:t>subframe</w:t>
      </w:r>
      <w:proofErr w:type="spellEnd"/>
      <w:r>
        <w:rPr>
          <w:sz w:val="22"/>
          <w:szCs w:val="22"/>
        </w:rPr>
        <w:t xml:space="preserve"> in which the UE applies a power control command is:</w:t>
      </w:r>
    </w:p>
    <w:p w14:paraId="38ED1CE8" w14:textId="77777777" w:rsidR="009B1CBB" w:rsidRDefault="009B1CBB" w:rsidP="009B1CBB">
      <w:pPr>
        <w:pStyle w:val="LGTdoc1"/>
        <w:numPr>
          <w:ilvl w:val="0"/>
          <w:numId w:val="17"/>
        </w:numPr>
        <w:spacing w:beforeLines="0" w:before="120" w:after="220" w:afterAutospacing="0"/>
        <w:rPr>
          <w:sz w:val="22"/>
          <w:szCs w:val="22"/>
        </w:rPr>
      </w:pPr>
      <w:r>
        <w:rPr>
          <w:sz w:val="22"/>
          <w:szCs w:val="22"/>
        </w:rPr>
        <w:t xml:space="preserve">The </w:t>
      </w:r>
      <w:proofErr w:type="spellStart"/>
      <w:r>
        <w:rPr>
          <w:sz w:val="22"/>
          <w:szCs w:val="22"/>
        </w:rPr>
        <w:t>subframe</w:t>
      </w:r>
      <w:proofErr w:type="spellEnd"/>
      <w:r>
        <w:rPr>
          <w:sz w:val="22"/>
          <w:szCs w:val="22"/>
        </w:rPr>
        <w:t xml:space="preserve"> used for SRS transmission, if SRS is triggered in the same DCI.</w:t>
      </w:r>
    </w:p>
    <w:p w14:paraId="7B7ABAD5" w14:textId="77777777" w:rsidR="009B1CBB" w:rsidRDefault="009B1CBB" w:rsidP="009B1CBB">
      <w:pPr>
        <w:pStyle w:val="LGTdoc1"/>
        <w:numPr>
          <w:ilvl w:val="0"/>
          <w:numId w:val="17"/>
        </w:numPr>
        <w:spacing w:beforeLines="0" w:before="120" w:after="220" w:afterAutospacing="0"/>
        <w:rPr>
          <w:sz w:val="22"/>
          <w:szCs w:val="22"/>
        </w:rPr>
      </w:pPr>
      <w:proofErr w:type="spellStart"/>
      <w:r>
        <w:rPr>
          <w:sz w:val="22"/>
          <w:szCs w:val="22"/>
        </w:rPr>
        <w:t>Subframe</w:t>
      </w:r>
      <w:proofErr w:type="spellEnd"/>
      <w:r>
        <w:rPr>
          <w:sz w:val="22"/>
          <w:szCs w:val="22"/>
        </w:rPr>
        <w:t xml:space="preserve"> </w:t>
      </w:r>
      <w:r>
        <w:rPr>
          <w:i/>
          <w:sz w:val="22"/>
          <w:szCs w:val="22"/>
        </w:rPr>
        <w:t>n+</w:t>
      </w:r>
      <w:r w:rsidRPr="00E9040D">
        <w:rPr>
          <w:position w:val="-10"/>
        </w:rPr>
        <w:object w:dxaOrig="17537" w:dyaOrig="8756" w14:anchorId="6D97E1C0">
          <v:shape id="_x0000_i1026" type="#_x0000_t75" style="width:35.7pt;height:17.55pt;mso-position-horizontal-relative:page;mso-position-vertical-relative:page" o:ole="">
            <v:imagedata r:id="rId14" o:title=""/>
          </v:shape>
          <o:OLEObject Type="Embed" ProgID="Equation.DSMT4" ShapeID="_x0000_i1026" DrawAspect="Content" ObjectID="_1539786188" r:id="rId16">
            <o:FieldCodes>\* MERGEFORMAT</o:FieldCodes>
          </o:OLEObject>
        </w:object>
      </w:r>
      <w:r w:rsidRPr="009B1CBB">
        <w:rPr>
          <w:sz w:val="22"/>
          <w:szCs w:val="22"/>
        </w:rPr>
        <w:t>if SRS is not triggered in the same DCI</w:t>
      </w:r>
    </w:p>
    <w:p w14:paraId="1329B4F0" w14:textId="77777777" w:rsidR="009B1CBB" w:rsidRDefault="009B1CBB" w:rsidP="009B1CBB">
      <w:pPr>
        <w:pStyle w:val="LGTdoc1"/>
        <w:spacing w:beforeLines="0" w:before="120" w:after="220" w:afterAutospacing="0"/>
        <w:ind w:left="720"/>
        <w:rPr>
          <w:sz w:val="22"/>
          <w:szCs w:val="22"/>
        </w:rPr>
      </w:pPr>
    </w:p>
    <w:p w14:paraId="0A6A5849" w14:textId="77777777" w:rsidR="009B1CBB" w:rsidRDefault="009B1CBB" w:rsidP="009B1CBB">
      <w:pPr>
        <w:pStyle w:val="LGTdoc1"/>
        <w:spacing w:beforeLines="0" w:before="120" w:after="220" w:afterAutospacing="0"/>
        <w:rPr>
          <w:sz w:val="22"/>
          <w:szCs w:val="22"/>
        </w:rPr>
      </w:pPr>
      <w:r>
        <w:rPr>
          <w:sz w:val="22"/>
          <w:szCs w:val="22"/>
          <w:u w:val="single"/>
        </w:rPr>
        <w:t>Proposal 5:</w:t>
      </w:r>
      <w:r>
        <w:rPr>
          <w:sz w:val="22"/>
          <w:szCs w:val="22"/>
        </w:rPr>
        <w:t xml:space="preserve"> If the UE receives multiple TPC commands for the same </w:t>
      </w:r>
      <w:proofErr w:type="spellStart"/>
      <w:r>
        <w:rPr>
          <w:sz w:val="22"/>
          <w:szCs w:val="22"/>
        </w:rPr>
        <w:t>subframe</w:t>
      </w:r>
      <w:proofErr w:type="spellEnd"/>
      <w:r>
        <w:rPr>
          <w:sz w:val="22"/>
          <w:szCs w:val="22"/>
        </w:rPr>
        <w:t>, same CC, the UE behaviour is as follows:</w:t>
      </w:r>
    </w:p>
    <w:p w14:paraId="2CC9ACEE" w14:textId="77777777" w:rsidR="009B1CBB" w:rsidRDefault="009B1CBB" w:rsidP="009B1CBB">
      <w:pPr>
        <w:pStyle w:val="LGTdoc1"/>
        <w:numPr>
          <w:ilvl w:val="0"/>
          <w:numId w:val="17"/>
        </w:numPr>
        <w:spacing w:beforeLines="0" w:before="120" w:after="220" w:afterAutospacing="0"/>
        <w:rPr>
          <w:sz w:val="22"/>
          <w:szCs w:val="22"/>
        </w:rPr>
      </w:pPr>
      <w:r>
        <w:rPr>
          <w:sz w:val="22"/>
          <w:szCs w:val="22"/>
        </w:rPr>
        <w:t>If both TPC commands are equal, and the SRS configuration from both trigger is the same, then</w:t>
      </w:r>
    </w:p>
    <w:p w14:paraId="4FFBFA15" w14:textId="77777777" w:rsidR="009B1CBB" w:rsidRDefault="009B1CBB" w:rsidP="009B1CBB">
      <w:pPr>
        <w:pStyle w:val="LGTdoc1"/>
        <w:numPr>
          <w:ilvl w:val="1"/>
          <w:numId w:val="17"/>
        </w:numPr>
        <w:spacing w:beforeLines="0" w:before="120" w:after="220" w:afterAutospacing="0"/>
        <w:rPr>
          <w:sz w:val="22"/>
          <w:szCs w:val="22"/>
        </w:rPr>
      </w:pPr>
      <w:r>
        <w:rPr>
          <w:sz w:val="22"/>
          <w:szCs w:val="22"/>
        </w:rPr>
        <w:t>The TPC command is valid and is applied (a single time)</w:t>
      </w:r>
    </w:p>
    <w:p w14:paraId="10B5C662" w14:textId="77777777" w:rsidR="009B1CBB" w:rsidRDefault="009B1CBB" w:rsidP="009B1CBB">
      <w:pPr>
        <w:pStyle w:val="LGTdoc1"/>
        <w:numPr>
          <w:ilvl w:val="0"/>
          <w:numId w:val="17"/>
        </w:numPr>
        <w:spacing w:beforeLines="0" w:before="120" w:after="220" w:afterAutospacing="0"/>
        <w:rPr>
          <w:sz w:val="22"/>
          <w:szCs w:val="22"/>
        </w:rPr>
      </w:pPr>
      <w:r>
        <w:rPr>
          <w:sz w:val="22"/>
          <w:szCs w:val="22"/>
        </w:rPr>
        <w:t>Else</w:t>
      </w:r>
    </w:p>
    <w:p w14:paraId="28884D68" w14:textId="77777777" w:rsidR="009B1CBB" w:rsidRDefault="009B1CBB" w:rsidP="009B1CBB">
      <w:pPr>
        <w:pStyle w:val="LGTdoc1"/>
        <w:numPr>
          <w:ilvl w:val="1"/>
          <w:numId w:val="17"/>
        </w:numPr>
        <w:spacing w:beforeLines="0" w:before="120" w:after="220" w:afterAutospacing="0"/>
        <w:rPr>
          <w:sz w:val="22"/>
          <w:szCs w:val="22"/>
        </w:rPr>
      </w:pPr>
      <w:r>
        <w:rPr>
          <w:sz w:val="22"/>
          <w:szCs w:val="22"/>
        </w:rPr>
        <w:t>The UE behaviour is not defined</w:t>
      </w:r>
    </w:p>
    <w:p w14:paraId="7894F4AC" w14:textId="77777777" w:rsidR="009B1CBB" w:rsidRDefault="009B1CBB" w:rsidP="009B1CBB">
      <w:pPr>
        <w:pStyle w:val="LGTdoc1"/>
        <w:spacing w:beforeLines="0" w:before="120" w:after="220" w:afterAutospacing="0"/>
        <w:rPr>
          <w:sz w:val="22"/>
          <w:szCs w:val="22"/>
          <w:u w:val="single"/>
        </w:rPr>
      </w:pPr>
    </w:p>
    <w:p w14:paraId="5490B899" w14:textId="77777777" w:rsidR="00550216" w:rsidRPr="00DB5B49" w:rsidRDefault="00550216" w:rsidP="00E77804">
      <w:pPr>
        <w:pStyle w:val="LGTdoc1"/>
        <w:spacing w:beforeLines="0" w:before="120" w:after="220" w:afterAutospacing="0"/>
        <w:rPr>
          <w:rFonts w:ascii="Arial" w:hAnsi="Arial" w:cs="Arial"/>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472B9EF6" w:rsidR="00111B9A"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w:t>
      </w:r>
      <w:r w:rsidR="00C412BA">
        <w:rPr>
          <w:b w:val="0"/>
          <w:sz w:val="22"/>
          <w:szCs w:val="22"/>
        </w:rPr>
        <w:t>6</w:t>
      </w:r>
      <w:r>
        <w:rPr>
          <w:b w:val="0"/>
          <w:sz w:val="22"/>
          <w:szCs w:val="22"/>
        </w:rPr>
        <w:t>, “</w:t>
      </w:r>
      <w:r w:rsidR="00C412BA">
        <w:rPr>
          <w:b w:val="0"/>
          <w:sz w:val="22"/>
          <w:szCs w:val="22"/>
        </w:rPr>
        <w:t>New WI proposal</w:t>
      </w:r>
      <w:r w:rsidR="003775E1">
        <w:rPr>
          <w:b w:val="0"/>
          <w:sz w:val="22"/>
          <w:szCs w:val="22"/>
        </w:rPr>
        <w:t xml:space="preserve">: </w:t>
      </w:r>
      <w:r w:rsidR="00C412BA">
        <w:rPr>
          <w:b w:val="0"/>
          <w:sz w:val="22"/>
          <w:szCs w:val="22"/>
        </w:rPr>
        <w:t>SRS Carrier Based Switching for LTE</w:t>
      </w:r>
      <w:r>
        <w:rPr>
          <w:b w:val="0"/>
          <w:sz w:val="22"/>
          <w:szCs w:val="22"/>
        </w:rPr>
        <w:t>“,</w:t>
      </w:r>
      <w:r w:rsidR="00C412BA">
        <w:rPr>
          <w:b w:val="0"/>
          <w:sz w:val="22"/>
          <w:szCs w:val="22"/>
        </w:rPr>
        <w:t xml:space="preserve"> Huawei, HiSilicon;</w:t>
      </w:r>
      <w:r w:rsidR="003775E1">
        <w:rPr>
          <w:b w:val="0"/>
          <w:sz w:val="22"/>
          <w:szCs w:val="22"/>
        </w:rPr>
        <w:t xml:space="preserve">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p>
    <w:sectPr w:rsidR="00111B9A"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D31D1" w14:textId="77777777" w:rsidR="00E05A74" w:rsidRDefault="00E05A74">
      <w:r>
        <w:separator/>
      </w:r>
    </w:p>
  </w:endnote>
  <w:endnote w:type="continuationSeparator" w:id="0">
    <w:p w14:paraId="476DA351" w14:textId="77777777" w:rsidR="00E05A74" w:rsidRDefault="00E05A74">
      <w:r>
        <w:continuationSeparator/>
      </w:r>
    </w:p>
  </w:endnote>
  <w:endnote w:type="continuationNotice" w:id="1">
    <w:p w14:paraId="4EBCE880" w14:textId="77777777" w:rsidR="00E05A74" w:rsidRDefault="00E05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BF27AC" w:rsidRDefault="00BF27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F27AC" w:rsidRDefault="00BF27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BF27AC" w:rsidRDefault="00BF27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69EF">
      <w:rPr>
        <w:rStyle w:val="PageNumber"/>
        <w:noProof/>
      </w:rPr>
      <w:t>4</w:t>
    </w:r>
    <w:r>
      <w:rPr>
        <w:rStyle w:val="PageNumber"/>
      </w:rPr>
      <w:fldChar w:fldCharType="end"/>
    </w:r>
  </w:p>
  <w:p w14:paraId="5BFA00B5" w14:textId="77777777" w:rsidR="00BF27AC" w:rsidRDefault="00BF27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B4B5E" w14:textId="77777777" w:rsidR="00E05A74" w:rsidRDefault="00E05A74">
      <w:r>
        <w:separator/>
      </w:r>
    </w:p>
  </w:footnote>
  <w:footnote w:type="continuationSeparator" w:id="0">
    <w:p w14:paraId="3148A78D" w14:textId="77777777" w:rsidR="00E05A74" w:rsidRDefault="00E05A74">
      <w:r>
        <w:continuationSeparator/>
      </w:r>
    </w:p>
  </w:footnote>
  <w:footnote w:type="continuationNotice" w:id="1">
    <w:p w14:paraId="706FA070" w14:textId="77777777" w:rsidR="00E05A74" w:rsidRDefault="00E05A7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3291"/>
    <w:multiLevelType w:val="hybridMultilevel"/>
    <w:tmpl w:val="5D421F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519F7"/>
    <w:multiLevelType w:val="hybridMultilevel"/>
    <w:tmpl w:val="60D680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B229292">
      <w:start w:val="1"/>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1670A"/>
    <w:multiLevelType w:val="hybridMultilevel"/>
    <w:tmpl w:val="60D680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B229292">
      <w:start w:val="1"/>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C0EAF"/>
    <w:multiLevelType w:val="hybridMultilevel"/>
    <w:tmpl w:val="17160FE6"/>
    <w:lvl w:ilvl="0" w:tplc="512C6AF2">
      <w:start w:val="1"/>
      <w:numFmt w:val="bullet"/>
      <w:lvlText w:val="•"/>
      <w:lvlJc w:val="left"/>
      <w:pPr>
        <w:tabs>
          <w:tab w:val="num" w:pos="720"/>
        </w:tabs>
        <w:ind w:left="720" w:hanging="360"/>
      </w:pPr>
      <w:rPr>
        <w:rFonts w:ascii="Arial" w:hAnsi="Arial" w:hint="default"/>
      </w:rPr>
    </w:lvl>
    <w:lvl w:ilvl="1" w:tplc="473889CA">
      <w:start w:val="1402"/>
      <w:numFmt w:val="bullet"/>
      <w:lvlText w:val="–"/>
      <w:lvlJc w:val="left"/>
      <w:pPr>
        <w:tabs>
          <w:tab w:val="num" w:pos="1440"/>
        </w:tabs>
        <w:ind w:left="1440" w:hanging="360"/>
      </w:pPr>
      <w:rPr>
        <w:rFonts w:ascii="Arial" w:hAnsi="Arial" w:hint="default"/>
      </w:rPr>
    </w:lvl>
    <w:lvl w:ilvl="2" w:tplc="8C60DAA6" w:tentative="1">
      <w:start w:val="1"/>
      <w:numFmt w:val="bullet"/>
      <w:lvlText w:val="•"/>
      <w:lvlJc w:val="left"/>
      <w:pPr>
        <w:tabs>
          <w:tab w:val="num" w:pos="2160"/>
        </w:tabs>
        <w:ind w:left="2160" w:hanging="360"/>
      </w:pPr>
      <w:rPr>
        <w:rFonts w:ascii="Arial" w:hAnsi="Arial" w:hint="default"/>
      </w:rPr>
    </w:lvl>
    <w:lvl w:ilvl="3" w:tplc="B26ED8B2" w:tentative="1">
      <w:start w:val="1"/>
      <w:numFmt w:val="bullet"/>
      <w:lvlText w:val="•"/>
      <w:lvlJc w:val="left"/>
      <w:pPr>
        <w:tabs>
          <w:tab w:val="num" w:pos="2880"/>
        </w:tabs>
        <w:ind w:left="2880" w:hanging="360"/>
      </w:pPr>
      <w:rPr>
        <w:rFonts w:ascii="Arial" w:hAnsi="Arial" w:hint="default"/>
      </w:rPr>
    </w:lvl>
    <w:lvl w:ilvl="4" w:tplc="CA2C9412" w:tentative="1">
      <w:start w:val="1"/>
      <w:numFmt w:val="bullet"/>
      <w:lvlText w:val="•"/>
      <w:lvlJc w:val="left"/>
      <w:pPr>
        <w:tabs>
          <w:tab w:val="num" w:pos="3600"/>
        </w:tabs>
        <w:ind w:left="3600" w:hanging="360"/>
      </w:pPr>
      <w:rPr>
        <w:rFonts w:ascii="Arial" w:hAnsi="Arial" w:hint="default"/>
      </w:rPr>
    </w:lvl>
    <w:lvl w:ilvl="5" w:tplc="1010990A" w:tentative="1">
      <w:start w:val="1"/>
      <w:numFmt w:val="bullet"/>
      <w:lvlText w:val="•"/>
      <w:lvlJc w:val="left"/>
      <w:pPr>
        <w:tabs>
          <w:tab w:val="num" w:pos="4320"/>
        </w:tabs>
        <w:ind w:left="4320" w:hanging="360"/>
      </w:pPr>
      <w:rPr>
        <w:rFonts w:ascii="Arial" w:hAnsi="Arial" w:hint="default"/>
      </w:rPr>
    </w:lvl>
    <w:lvl w:ilvl="6" w:tplc="80EA2A76" w:tentative="1">
      <w:start w:val="1"/>
      <w:numFmt w:val="bullet"/>
      <w:lvlText w:val="•"/>
      <w:lvlJc w:val="left"/>
      <w:pPr>
        <w:tabs>
          <w:tab w:val="num" w:pos="5040"/>
        </w:tabs>
        <w:ind w:left="5040" w:hanging="360"/>
      </w:pPr>
      <w:rPr>
        <w:rFonts w:ascii="Arial" w:hAnsi="Arial" w:hint="default"/>
      </w:rPr>
    </w:lvl>
    <w:lvl w:ilvl="7" w:tplc="4B705592" w:tentative="1">
      <w:start w:val="1"/>
      <w:numFmt w:val="bullet"/>
      <w:lvlText w:val="•"/>
      <w:lvlJc w:val="left"/>
      <w:pPr>
        <w:tabs>
          <w:tab w:val="num" w:pos="5760"/>
        </w:tabs>
        <w:ind w:left="5760" w:hanging="360"/>
      </w:pPr>
      <w:rPr>
        <w:rFonts w:ascii="Arial" w:hAnsi="Arial" w:hint="default"/>
      </w:rPr>
    </w:lvl>
    <w:lvl w:ilvl="8" w:tplc="3230E80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3A1BB0"/>
    <w:multiLevelType w:val="hybridMultilevel"/>
    <w:tmpl w:val="9E4E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B229292">
      <w:start w:val="1"/>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2B5ED1"/>
    <w:multiLevelType w:val="hybridMultilevel"/>
    <w:tmpl w:val="11A42CA6"/>
    <w:lvl w:ilvl="0" w:tplc="BE80B7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030B8E"/>
    <w:multiLevelType w:val="hybridMultilevel"/>
    <w:tmpl w:val="A888FC48"/>
    <w:lvl w:ilvl="0" w:tplc="1A163E2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7" w15:restartNumberingAfterBreak="0">
    <w:nsid w:val="2A0950F6"/>
    <w:multiLevelType w:val="hybridMultilevel"/>
    <w:tmpl w:val="77601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4C0757"/>
    <w:multiLevelType w:val="hybridMultilevel"/>
    <w:tmpl w:val="CB32F8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511DE"/>
    <w:multiLevelType w:val="hybridMultilevel"/>
    <w:tmpl w:val="60D680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B229292">
      <w:start w:val="1"/>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14548"/>
    <w:multiLevelType w:val="hybridMultilevel"/>
    <w:tmpl w:val="420C57A8"/>
    <w:lvl w:ilvl="0" w:tplc="1A163E2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57E3676B"/>
    <w:multiLevelType w:val="hybridMultilevel"/>
    <w:tmpl w:val="A3104038"/>
    <w:lvl w:ilvl="0" w:tplc="129679D6">
      <w:start w:val="1"/>
      <w:numFmt w:val="bullet"/>
      <w:lvlText w:val="•"/>
      <w:lvlJc w:val="left"/>
      <w:pPr>
        <w:tabs>
          <w:tab w:val="num" w:pos="720"/>
        </w:tabs>
        <w:ind w:left="720" w:hanging="360"/>
      </w:pPr>
      <w:rPr>
        <w:rFonts w:ascii="Arial" w:hAnsi="Arial" w:hint="default"/>
      </w:rPr>
    </w:lvl>
    <w:lvl w:ilvl="1" w:tplc="97F64ED2">
      <w:start w:val="1402"/>
      <w:numFmt w:val="bullet"/>
      <w:lvlText w:val="–"/>
      <w:lvlJc w:val="left"/>
      <w:pPr>
        <w:tabs>
          <w:tab w:val="num" w:pos="1440"/>
        </w:tabs>
        <w:ind w:left="1440" w:hanging="360"/>
      </w:pPr>
      <w:rPr>
        <w:rFonts w:ascii="Arial" w:hAnsi="Arial" w:hint="default"/>
      </w:rPr>
    </w:lvl>
    <w:lvl w:ilvl="2" w:tplc="4A5ACB8C">
      <w:start w:val="1"/>
      <w:numFmt w:val="bullet"/>
      <w:lvlText w:val="•"/>
      <w:lvlJc w:val="left"/>
      <w:pPr>
        <w:tabs>
          <w:tab w:val="num" w:pos="2160"/>
        </w:tabs>
        <w:ind w:left="2160" w:hanging="360"/>
      </w:pPr>
      <w:rPr>
        <w:rFonts w:ascii="Arial" w:hAnsi="Arial" w:hint="default"/>
      </w:rPr>
    </w:lvl>
    <w:lvl w:ilvl="3" w:tplc="6A2CAD2C">
      <w:start w:val="1"/>
      <w:numFmt w:val="bullet"/>
      <w:lvlText w:val="•"/>
      <w:lvlJc w:val="left"/>
      <w:pPr>
        <w:tabs>
          <w:tab w:val="num" w:pos="2880"/>
        </w:tabs>
        <w:ind w:left="2880" w:hanging="360"/>
      </w:pPr>
      <w:rPr>
        <w:rFonts w:ascii="Arial" w:hAnsi="Arial" w:hint="default"/>
      </w:rPr>
    </w:lvl>
    <w:lvl w:ilvl="4" w:tplc="F5A43CB6" w:tentative="1">
      <w:start w:val="1"/>
      <w:numFmt w:val="bullet"/>
      <w:lvlText w:val="•"/>
      <w:lvlJc w:val="left"/>
      <w:pPr>
        <w:tabs>
          <w:tab w:val="num" w:pos="3600"/>
        </w:tabs>
        <w:ind w:left="3600" w:hanging="360"/>
      </w:pPr>
      <w:rPr>
        <w:rFonts w:ascii="Arial" w:hAnsi="Arial" w:hint="default"/>
      </w:rPr>
    </w:lvl>
    <w:lvl w:ilvl="5" w:tplc="A190C23A" w:tentative="1">
      <w:start w:val="1"/>
      <w:numFmt w:val="bullet"/>
      <w:lvlText w:val="•"/>
      <w:lvlJc w:val="left"/>
      <w:pPr>
        <w:tabs>
          <w:tab w:val="num" w:pos="4320"/>
        </w:tabs>
        <w:ind w:left="4320" w:hanging="360"/>
      </w:pPr>
      <w:rPr>
        <w:rFonts w:ascii="Arial" w:hAnsi="Arial" w:hint="default"/>
      </w:rPr>
    </w:lvl>
    <w:lvl w:ilvl="6" w:tplc="A3BAC6F8" w:tentative="1">
      <w:start w:val="1"/>
      <w:numFmt w:val="bullet"/>
      <w:lvlText w:val="•"/>
      <w:lvlJc w:val="left"/>
      <w:pPr>
        <w:tabs>
          <w:tab w:val="num" w:pos="5040"/>
        </w:tabs>
        <w:ind w:left="5040" w:hanging="360"/>
      </w:pPr>
      <w:rPr>
        <w:rFonts w:ascii="Arial" w:hAnsi="Arial" w:hint="default"/>
      </w:rPr>
    </w:lvl>
    <w:lvl w:ilvl="7" w:tplc="B656A3DA" w:tentative="1">
      <w:start w:val="1"/>
      <w:numFmt w:val="bullet"/>
      <w:lvlText w:val="•"/>
      <w:lvlJc w:val="left"/>
      <w:pPr>
        <w:tabs>
          <w:tab w:val="num" w:pos="5760"/>
        </w:tabs>
        <w:ind w:left="5760" w:hanging="360"/>
      </w:pPr>
      <w:rPr>
        <w:rFonts w:ascii="Arial" w:hAnsi="Arial" w:hint="default"/>
      </w:rPr>
    </w:lvl>
    <w:lvl w:ilvl="8" w:tplc="4A7E34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716254"/>
    <w:multiLevelType w:val="hybridMultilevel"/>
    <w:tmpl w:val="04187898"/>
    <w:lvl w:ilvl="0" w:tplc="73A280D6">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5B3978"/>
    <w:multiLevelType w:val="hybridMultilevel"/>
    <w:tmpl w:val="F43AE478"/>
    <w:lvl w:ilvl="0" w:tplc="85545672">
      <w:start w:val="1"/>
      <w:numFmt w:val="bullet"/>
      <w:lvlText w:val="•"/>
      <w:lvlJc w:val="left"/>
      <w:pPr>
        <w:tabs>
          <w:tab w:val="num" w:pos="720"/>
        </w:tabs>
        <w:ind w:left="720" w:hanging="360"/>
      </w:pPr>
      <w:rPr>
        <w:rFonts w:ascii="Arial" w:hAnsi="Arial" w:hint="default"/>
      </w:rPr>
    </w:lvl>
    <w:lvl w:ilvl="1" w:tplc="C2FE07B6">
      <w:start w:val="1402"/>
      <w:numFmt w:val="bullet"/>
      <w:lvlText w:val="–"/>
      <w:lvlJc w:val="left"/>
      <w:pPr>
        <w:tabs>
          <w:tab w:val="num" w:pos="1440"/>
        </w:tabs>
        <w:ind w:left="1440" w:hanging="360"/>
      </w:pPr>
      <w:rPr>
        <w:rFonts w:ascii="Arial" w:hAnsi="Arial" w:hint="default"/>
      </w:rPr>
    </w:lvl>
    <w:lvl w:ilvl="2" w:tplc="52D2CCB0" w:tentative="1">
      <w:start w:val="1"/>
      <w:numFmt w:val="bullet"/>
      <w:lvlText w:val="•"/>
      <w:lvlJc w:val="left"/>
      <w:pPr>
        <w:tabs>
          <w:tab w:val="num" w:pos="2160"/>
        </w:tabs>
        <w:ind w:left="2160" w:hanging="360"/>
      </w:pPr>
      <w:rPr>
        <w:rFonts w:ascii="Arial" w:hAnsi="Arial" w:hint="default"/>
      </w:rPr>
    </w:lvl>
    <w:lvl w:ilvl="3" w:tplc="091A6D32" w:tentative="1">
      <w:start w:val="1"/>
      <w:numFmt w:val="bullet"/>
      <w:lvlText w:val="•"/>
      <w:lvlJc w:val="left"/>
      <w:pPr>
        <w:tabs>
          <w:tab w:val="num" w:pos="2880"/>
        </w:tabs>
        <w:ind w:left="2880" w:hanging="360"/>
      </w:pPr>
      <w:rPr>
        <w:rFonts w:ascii="Arial" w:hAnsi="Arial" w:hint="default"/>
      </w:rPr>
    </w:lvl>
    <w:lvl w:ilvl="4" w:tplc="70AABA62" w:tentative="1">
      <w:start w:val="1"/>
      <w:numFmt w:val="bullet"/>
      <w:lvlText w:val="•"/>
      <w:lvlJc w:val="left"/>
      <w:pPr>
        <w:tabs>
          <w:tab w:val="num" w:pos="3600"/>
        </w:tabs>
        <w:ind w:left="3600" w:hanging="360"/>
      </w:pPr>
      <w:rPr>
        <w:rFonts w:ascii="Arial" w:hAnsi="Arial" w:hint="default"/>
      </w:rPr>
    </w:lvl>
    <w:lvl w:ilvl="5" w:tplc="E83606D0" w:tentative="1">
      <w:start w:val="1"/>
      <w:numFmt w:val="bullet"/>
      <w:lvlText w:val="•"/>
      <w:lvlJc w:val="left"/>
      <w:pPr>
        <w:tabs>
          <w:tab w:val="num" w:pos="4320"/>
        </w:tabs>
        <w:ind w:left="4320" w:hanging="360"/>
      </w:pPr>
      <w:rPr>
        <w:rFonts w:ascii="Arial" w:hAnsi="Arial" w:hint="default"/>
      </w:rPr>
    </w:lvl>
    <w:lvl w:ilvl="6" w:tplc="9A08B10E" w:tentative="1">
      <w:start w:val="1"/>
      <w:numFmt w:val="bullet"/>
      <w:lvlText w:val="•"/>
      <w:lvlJc w:val="left"/>
      <w:pPr>
        <w:tabs>
          <w:tab w:val="num" w:pos="5040"/>
        </w:tabs>
        <w:ind w:left="5040" w:hanging="360"/>
      </w:pPr>
      <w:rPr>
        <w:rFonts w:ascii="Arial" w:hAnsi="Arial" w:hint="default"/>
      </w:rPr>
    </w:lvl>
    <w:lvl w:ilvl="7" w:tplc="EB4E997C" w:tentative="1">
      <w:start w:val="1"/>
      <w:numFmt w:val="bullet"/>
      <w:lvlText w:val="•"/>
      <w:lvlJc w:val="left"/>
      <w:pPr>
        <w:tabs>
          <w:tab w:val="num" w:pos="5760"/>
        </w:tabs>
        <w:ind w:left="5760" w:hanging="360"/>
      </w:pPr>
      <w:rPr>
        <w:rFonts w:ascii="Arial" w:hAnsi="Arial" w:hint="default"/>
      </w:rPr>
    </w:lvl>
    <w:lvl w:ilvl="8" w:tplc="B20ADD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3183CDD"/>
    <w:multiLevelType w:val="hybridMultilevel"/>
    <w:tmpl w:val="5D421F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8"/>
  </w:num>
  <w:num w:numId="3">
    <w:abstractNumId w:val="14"/>
  </w:num>
  <w:num w:numId="4">
    <w:abstractNumId w:val="19"/>
  </w:num>
  <w:num w:numId="5">
    <w:abstractNumId w:val="20"/>
  </w:num>
  <w:num w:numId="6">
    <w:abstractNumId w:val="6"/>
  </w:num>
  <w:num w:numId="7">
    <w:abstractNumId w:val="13"/>
  </w:num>
  <w:num w:numId="8">
    <w:abstractNumId w:val="4"/>
  </w:num>
  <w:num w:numId="9">
    <w:abstractNumId w:val="12"/>
  </w:num>
  <w:num w:numId="10">
    <w:abstractNumId w:val="11"/>
  </w:num>
  <w:num w:numId="11">
    <w:abstractNumId w:val="7"/>
  </w:num>
  <w:num w:numId="12">
    <w:abstractNumId w:val="2"/>
  </w:num>
  <w:num w:numId="13">
    <w:abstractNumId w:val="3"/>
  </w:num>
  <w:num w:numId="14">
    <w:abstractNumId w:val="17"/>
  </w:num>
  <w:num w:numId="15">
    <w:abstractNumId w:val="1"/>
  </w:num>
  <w:num w:numId="16">
    <w:abstractNumId w:val="15"/>
  </w:num>
  <w:num w:numId="17">
    <w:abstractNumId w:val="5"/>
  </w:num>
  <w:num w:numId="18">
    <w:abstractNumId w:val="18"/>
  </w:num>
  <w:num w:numId="19">
    <w:abstractNumId w:val="16"/>
  </w:num>
  <w:num w:numId="20">
    <w:abstractNumId w:val="0"/>
  </w:num>
  <w:num w:numId="2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5F9"/>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06B"/>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277"/>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5B56"/>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4BF"/>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5E1"/>
    <w:rsid w:val="00252D7F"/>
    <w:rsid w:val="00252E28"/>
    <w:rsid w:val="0025323D"/>
    <w:rsid w:val="00253D9D"/>
    <w:rsid w:val="00253F76"/>
    <w:rsid w:val="00254A47"/>
    <w:rsid w:val="00254B78"/>
    <w:rsid w:val="00254F02"/>
    <w:rsid w:val="0025511C"/>
    <w:rsid w:val="00255235"/>
    <w:rsid w:val="00255B01"/>
    <w:rsid w:val="00255F1E"/>
    <w:rsid w:val="0025653D"/>
    <w:rsid w:val="002568B8"/>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08C"/>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740"/>
    <w:rsid w:val="002D09F5"/>
    <w:rsid w:val="002D13D8"/>
    <w:rsid w:val="002D146E"/>
    <w:rsid w:val="002D1583"/>
    <w:rsid w:val="002D15B0"/>
    <w:rsid w:val="002D19B7"/>
    <w:rsid w:val="002D1C71"/>
    <w:rsid w:val="002D1D1E"/>
    <w:rsid w:val="002D1F04"/>
    <w:rsid w:val="002D1F5F"/>
    <w:rsid w:val="002D2F41"/>
    <w:rsid w:val="002D39C3"/>
    <w:rsid w:val="002D3A7F"/>
    <w:rsid w:val="002D3B07"/>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BA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204"/>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32E"/>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42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689"/>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63B"/>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8F9"/>
    <w:rsid w:val="004B79F0"/>
    <w:rsid w:val="004B7F6C"/>
    <w:rsid w:val="004C0213"/>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7EA"/>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2E9"/>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216"/>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329"/>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B2D"/>
    <w:rsid w:val="00592C65"/>
    <w:rsid w:val="00592DF1"/>
    <w:rsid w:val="00592F48"/>
    <w:rsid w:val="0059321F"/>
    <w:rsid w:val="005939B3"/>
    <w:rsid w:val="005942F1"/>
    <w:rsid w:val="00594A8F"/>
    <w:rsid w:val="00594A9B"/>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49D"/>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E41"/>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3A9"/>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9EF"/>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BB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09"/>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A51"/>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5B5"/>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996"/>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8A7"/>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CBB"/>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87"/>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CEE"/>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23F"/>
    <w:rsid w:val="009F070A"/>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4B0"/>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3E"/>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4B0"/>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7AC"/>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2F49"/>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31A"/>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B45"/>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5A9"/>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B49"/>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A74"/>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693"/>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F9E"/>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182"/>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ED5"/>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4C4"/>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477"/>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A80"/>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626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26E41"/>
    <w:rPr>
      <w:rFonts w:ascii="Courier New" w:eastAsia="Times New Roman" w:hAnsi="Courier New"/>
      <w:noProof/>
      <w:sz w:val="16"/>
      <w:lang w:val="en-GB"/>
    </w:rPr>
  </w:style>
  <w:style w:type="paragraph" w:customStyle="1" w:styleId="B1">
    <w:name w:val="B1"/>
    <w:basedOn w:val="List"/>
    <w:link w:val="B1Char1"/>
    <w:rsid w:val="00626E41"/>
    <w:pPr>
      <w:widowControl/>
      <w:wordWrap/>
      <w:overflowPunct w:val="0"/>
      <w:adjustRightInd w:val="0"/>
      <w:spacing w:after="180"/>
      <w:ind w:left="568" w:hanging="284"/>
      <w:contextualSpacing w:val="0"/>
      <w:jc w:val="left"/>
      <w:textAlignment w:val="baseline"/>
    </w:pPr>
    <w:rPr>
      <w:rFonts w:ascii="Times New Roman" w:eastAsia="Times New Roman"/>
      <w:kern w:val="0"/>
      <w:szCs w:val="20"/>
      <w:lang w:val="en-GB" w:eastAsia="en-GB"/>
    </w:rPr>
  </w:style>
  <w:style w:type="character" w:customStyle="1" w:styleId="B1Char1">
    <w:name w:val="B1 Char1"/>
    <w:link w:val="B1"/>
    <w:rsid w:val="00626E41"/>
    <w:rPr>
      <w:rFonts w:eastAsia="Times New Roman"/>
      <w:lang w:val="en-GB" w:eastAsia="en-GB"/>
    </w:rPr>
  </w:style>
  <w:style w:type="paragraph" w:styleId="List">
    <w:name w:val="List"/>
    <w:basedOn w:val="Normal"/>
    <w:rsid w:val="00626E4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4563347">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8317020">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2129380">
      <w:bodyDiv w:val="1"/>
      <w:marLeft w:val="0"/>
      <w:marRight w:val="0"/>
      <w:marTop w:val="0"/>
      <w:marBottom w:val="0"/>
      <w:divBdr>
        <w:top w:val="none" w:sz="0" w:space="0" w:color="auto"/>
        <w:left w:val="none" w:sz="0" w:space="0" w:color="auto"/>
        <w:bottom w:val="none" w:sz="0" w:space="0" w:color="auto"/>
        <w:right w:val="none" w:sz="0" w:space="0" w:color="auto"/>
      </w:divBdr>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176035">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3027186">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4813538">
      <w:bodyDiv w:val="1"/>
      <w:marLeft w:val="0"/>
      <w:marRight w:val="0"/>
      <w:marTop w:val="0"/>
      <w:marBottom w:val="0"/>
      <w:divBdr>
        <w:top w:val="none" w:sz="0" w:space="0" w:color="auto"/>
        <w:left w:val="none" w:sz="0" w:space="0" w:color="auto"/>
        <w:bottom w:val="none" w:sz="0" w:space="0" w:color="auto"/>
        <w:right w:val="none" w:sz="0" w:space="0" w:color="auto"/>
      </w:divBdr>
      <w:divsChild>
        <w:div w:id="1071856273">
          <w:marLeft w:val="1166"/>
          <w:marRight w:val="0"/>
          <w:marTop w:val="96"/>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0559483">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87712503">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9239921">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DE492E17-E1A3-4045-A050-EEF41C67C8F7}">
  <ds:schemaRefs>
    <ds:schemaRef ds:uri="http://schemas.openxmlformats.org/officeDocument/2006/bibliography"/>
  </ds:schemaRefs>
</ds:datastoreItem>
</file>

<file path=customXml/itemProps7.xml><?xml version="1.0" encoding="utf-8"?>
<ds:datastoreItem xmlns:ds="http://schemas.openxmlformats.org/officeDocument/2006/customXml" ds:itemID="{C90F4F32-5AE1-40BE-86FF-F93A28617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4</Pages>
  <Words>1354</Words>
  <Characters>7723</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19</cp:revision>
  <cp:lastPrinted>2010-08-13T21:54:00Z</cp:lastPrinted>
  <dcterms:created xsi:type="dcterms:W3CDTF">2016-05-13T15:51:00Z</dcterms:created>
  <dcterms:modified xsi:type="dcterms:W3CDTF">2016-11-05T00:37:00Z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-180409182</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